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528"/>
        <w:gridCol w:w="1196"/>
      </w:tblGrid>
      <w:tr w:rsidR="00316E30" w:rsidRPr="00280DF2" w14:paraId="4AA88CAC" w14:textId="77777777" w:rsidTr="001257D6">
        <w:trPr>
          <w:trHeight w:val="132"/>
        </w:trPr>
        <w:tc>
          <w:tcPr>
            <w:tcW w:w="2518" w:type="dxa"/>
          </w:tcPr>
          <w:p w14:paraId="2C1EEE55" w14:textId="77777777" w:rsidR="00316E30" w:rsidRPr="00015366" w:rsidRDefault="00316E30" w:rsidP="00394D22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15366">
              <w:rPr>
                <w:b/>
                <w:sz w:val="20"/>
                <w:szCs w:val="20"/>
                <w:lang w:val="en-GB"/>
              </w:rPr>
              <w:t>Department</w:t>
            </w:r>
          </w:p>
        </w:tc>
        <w:tc>
          <w:tcPr>
            <w:tcW w:w="6724" w:type="dxa"/>
            <w:gridSpan w:val="2"/>
          </w:tcPr>
          <w:p w14:paraId="39AA05AD" w14:textId="77777777" w:rsidR="00316E30" w:rsidRPr="00015366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Department of Operations Management</w:t>
            </w:r>
          </w:p>
        </w:tc>
      </w:tr>
      <w:tr w:rsidR="00316E30" w:rsidRPr="00015366" w14:paraId="6337A43B" w14:textId="77777777" w:rsidTr="001257D6">
        <w:trPr>
          <w:trHeight w:val="276"/>
        </w:trPr>
        <w:tc>
          <w:tcPr>
            <w:tcW w:w="2518" w:type="dxa"/>
          </w:tcPr>
          <w:p w14:paraId="3F297F9F" w14:textId="77777777" w:rsidR="00316E30" w:rsidRPr="00015366" w:rsidRDefault="00316E30" w:rsidP="00394D22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15366">
              <w:rPr>
                <w:b/>
                <w:sz w:val="20"/>
                <w:szCs w:val="20"/>
                <w:lang w:val="en-GB"/>
              </w:rPr>
              <w:t>Discipline</w:t>
            </w:r>
          </w:p>
        </w:tc>
        <w:tc>
          <w:tcPr>
            <w:tcW w:w="6724" w:type="dxa"/>
            <w:gridSpan w:val="2"/>
          </w:tcPr>
          <w:p w14:paraId="3611C823" w14:textId="77777777" w:rsidR="00316E30" w:rsidRPr="00015366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015366">
              <w:rPr>
                <w:sz w:val="20"/>
                <w:szCs w:val="20"/>
                <w:lang w:val="en-GB"/>
              </w:rPr>
              <w:t>Operations Management</w:t>
            </w:r>
          </w:p>
        </w:tc>
      </w:tr>
      <w:tr w:rsidR="00316E30" w:rsidRPr="00015366" w14:paraId="37A77246" w14:textId="77777777" w:rsidTr="001257D6">
        <w:tc>
          <w:tcPr>
            <w:tcW w:w="2518" w:type="dxa"/>
          </w:tcPr>
          <w:p w14:paraId="68A44A24" w14:textId="77777777" w:rsidR="00316E30" w:rsidRPr="00015366" w:rsidRDefault="00316E30" w:rsidP="00394D22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015366">
              <w:rPr>
                <w:b/>
                <w:sz w:val="20"/>
                <w:szCs w:val="20"/>
                <w:lang w:val="en-GB"/>
              </w:rPr>
              <w:t>Research Focus Area</w:t>
            </w:r>
          </w:p>
        </w:tc>
        <w:tc>
          <w:tcPr>
            <w:tcW w:w="6724" w:type="dxa"/>
            <w:gridSpan w:val="2"/>
          </w:tcPr>
          <w:p w14:paraId="01BD37B3" w14:textId="77777777" w:rsidR="001257D6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015366">
              <w:rPr>
                <w:sz w:val="20"/>
                <w:szCs w:val="20"/>
                <w:lang w:val="en-GB"/>
              </w:rPr>
              <w:t>Production an</w:t>
            </w:r>
            <w:r w:rsidR="001257D6">
              <w:rPr>
                <w:sz w:val="20"/>
                <w:szCs w:val="20"/>
                <w:lang w:val="en-GB"/>
              </w:rPr>
              <w:t xml:space="preserve">d Operations Management (POM) </w:t>
            </w:r>
          </w:p>
          <w:p w14:paraId="530E81BA" w14:textId="77777777" w:rsidR="00316E30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015366">
              <w:rPr>
                <w:sz w:val="20"/>
                <w:szCs w:val="20"/>
                <w:lang w:val="en-GB"/>
              </w:rPr>
              <w:t>Strategy and Improvement</w:t>
            </w:r>
          </w:p>
          <w:p w14:paraId="6E93A326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FMCG</w:t>
            </w:r>
          </w:p>
          <w:p w14:paraId="30E6CCD6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Automotive supply chains</w:t>
            </w:r>
          </w:p>
          <w:p w14:paraId="214CF41A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Automotive export/import</w:t>
            </w:r>
          </w:p>
          <w:p w14:paraId="203D526E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Green ICT </w:t>
            </w:r>
          </w:p>
          <w:p w14:paraId="6B8FF64A" w14:textId="77777777" w:rsidR="001E497C" w:rsidRDefault="001E497C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Supplier relationships</w:t>
            </w:r>
          </w:p>
          <w:p w14:paraId="0CE854CB" w14:textId="77777777" w:rsidR="001E497C" w:rsidRDefault="001E497C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Supply chain development</w:t>
            </w:r>
          </w:p>
          <w:p w14:paraId="4809B667" w14:textId="77777777" w:rsidR="001E497C" w:rsidRPr="00015366" w:rsidRDefault="001E497C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Contemporary operations management issues</w:t>
            </w:r>
          </w:p>
        </w:tc>
      </w:tr>
      <w:tr w:rsidR="00D13ADC" w:rsidRPr="00015366" w14:paraId="785892FC" w14:textId="77777777" w:rsidTr="001257D6">
        <w:tc>
          <w:tcPr>
            <w:tcW w:w="2518" w:type="dxa"/>
          </w:tcPr>
          <w:p w14:paraId="3609DC66" w14:textId="62E890C9" w:rsidR="00D13ADC" w:rsidRPr="00015366" w:rsidRDefault="00D13ADC" w:rsidP="00394D22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Total Capacity for 2024</w:t>
            </w:r>
          </w:p>
        </w:tc>
        <w:tc>
          <w:tcPr>
            <w:tcW w:w="6724" w:type="dxa"/>
            <w:gridSpan w:val="2"/>
          </w:tcPr>
          <w:p w14:paraId="3358FFC2" w14:textId="433981B7" w:rsidR="00D13ADC" w:rsidRPr="00015366" w:rsidRDefault="00D13ADC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4 (2 Masters and 2 PhDs)</w:t>
            </w:r>
          </w:p>
        </w:tc>
      </w:tr>
      <w:tr w:rsidR="00316E30" w:rsidRPr="00015366" w14:paraId="4D55DDB2" w14:textId="77777777" w:rsidTr="001257D6">
        <w:tc>
          <w:tcPr>
            <w:tcW w:w="2518" w:type="dxa"/>
          </w:tcPr>
          <w:p w14:paraId="2DD7ADA4" w14:textId="77777777" w:rsidR="00316E30" w:rsidRPr="001257D6" w:rsidRDefault="00316E30" w:rsidP="00394D22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1257D6">
              <w:rPr>
                <w:b/>
                <w:sz w:val="20"/>
                <w:szCs w:val="20"/>
                <w:lang w:val="en-GB"/>
              </w:rPr>
              <w:t>Supervision Team</w:t>
            </w:r>
          </w:p>
        </w:tc>
        <w:tc>
          <w:tcPr>
            <w:tcW w:w="6724" w:type="dxa"/>
            <w:gridSpan w:val="2"/>
          </w:tcPr>
          <w:p w14:paraId="462D279F" w14:textId="77777777" w:rsidR="00316E30" w:rsidRP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Prof</w:t>
            </w:r>
            <w:r w:rsidR="00316E30" w:rsidRPr="001257D6">
              <w:rPr>
                <w:sz w:val="20"/>
                <w:szCs w:val="20"/>
                <w:lang w:val="en-GB"/>
              </w:rPr>
              <w:t xml:space="preserve"> A Tolmay</w:t>
            </w:r>
          </w:p>
        </w:tc>
      </w:tr>
      <w:tr w:rsidR="00316E30" w:rsidRPr="004D755A" w14:paraId="773C7957" w14:textId="77777777" w:rsidTr="001257D6">
        <w:trPr>
          <w:trHeight w:val="276"/>
        </w:trPr>
        <w:tc>
          <w:tcPr>
            <w:tcW w:w="2518" w:type="dxa"/>
          </w:tcPr>
          <w:p w14:paraId="7226D4D2" w14:textId="77777777" w:rsidR="00316E30" w:rsidRPr="001257D6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1257D6">
              <w:rPr>
                <w:b/>
                <w:bCs/>
                <w:sz w:val="20"/>
                <w:szCs w:val="20"/>
                <w:lang w:val="en-GB"/>
              </w:rPr>
              <w:t>Name</w:t>
            </w:r>
          </w:p>
          <w:p w14:paraId="56BF705A" w14:textId="77777777" w:rsidR="00316E30" w:rsidRP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Prof</w:t>
            </w:r>
            <w:r w:rsidR="00316E30" w:rsidRPr="001257D6">
              <w:rPr>
                <w:sz w:val="20"/>
                <w:szCs w:val="20"/>
                <w:lang w:val="en-GB"/>
              </w:rPr>
              <w:t xml:space="preserve"> Alet Tolmay</w:t>
            </w:r>
          </w:p>
          <w:p w14:paraId="0946147A" w14:textId="77777777" w:rsidR="00316E30" w:rsidRPr="001257D6" w:rsidRDefault="0000000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hyperlink r:id="rId7" w:history="1">
              <w:r w:rsidR="00316E30" w:rsidRPr="001257D6">
                <w:rPr>
                  <w:rStyle w:val="Hyperlink"/>
                  <w:color w:val="auto"/>
                  <w:sz w:val="20"/>
                  <w:szCs w:val="20"/>
                  <w:lang w:val="en-GB"/>
                </w:rPr>
                <w:t>etolmaas@unisa.ac.za</w:t>
              </w:r>
            </w:hyperlink>
          </w:p>
          <w:p w14:paraId="608C2F63" w14:textId="77777777" w:rsidR="00316E30" w:rsidRPr="001257D6" w:rsidRDefault="00316E30" w:rsidP="00394D22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528" w:type="dxa"/>
          </w:tcPr>
          <w:p w14:paraId="7D02C31A" w14:textId="77777777" w:rsidR="00316E30" w:rsidRPr="001257D6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1257D6">
              <w:rPr>
                <w:b/>
                <w:bCs/>
                <w:sz w:val="20"/>
                <w:szCs w:val="20"/>
                <w:lang w:val="en-GB"/>
              </w:rPr>
              <w:t>Academic Profile</w:t>
            </w:r>
          </w:p>
          <w:p w14:paraId="6E03A9FD" w14:textId="77777777" w:rsidR="00316E30" w:rsidRPr="001257D6" w:rsidRDefault="00316E30" w:rsidP="00394D22">
            <w:pPr>
              <w:spacing w:after="0" w:line="240" w:lineRule="auto"/>
              <w:jc w:val="both"/>
              <w:rPr>
                <w:bCs/>
                <w:sz w:val="20"/>
                <w:szCs w:val="20"/>
                <w:lang w:val="en-GB"/>
              </w:rPr>
            </w:pPr>
            <w:r w:rsidRPr="001257D6">
              <w:rPr>
                <w:bCs/>
                <w:sz w:val="20"/>
                <w:szCs w:val="20"/>
                <w:lang w:val="en-GB"/>
              </w:rPr>
              <w:t>Alet Tolmay is currently is a</w:t>
            </w:r>
            <w:r w:rsidR="001257D6" w:rsidRPr="001257D6">
              <w:rPr>
                <w:bCs/>
                <w:sz w:val="20"/>
                <w:szCs w:val="20"/>
                <w:lang w:val="en-GB"/>
              </w:rPr>
              <w:t>n associate professor</w:t>
            </w:r>
            <w:r w:rsidRPr="001257D6">
              <w:rPr>
                <w:bCs/>
                <w:sz w:val="20"/>
                <w:szCs w:val="20"/>
                <w:lang w:val="en-GB"/>
              </w:rPr>
              <w:t xml:space="preserve"> in Operations Management in (Production and operations management) CEMS.  She specialises in research on the South African automotive supply chain regarding exports, supply chain relationships, relationship marketing, AGOA and EU-SA free trade.</w:t>
            </w:r>
            <w:r w:rsidR="001257D6" w:rsidRPr="001257D6">
              <w:rPr>
                <w:bCs/>
                <w:sz w:val="20"/>
                <w:szCs w:val="20"/>
                <w:lang w:val="en-GB"/>
              </w:rPr>
              <w:t xml:space="preserve">  She is also involved in supply chain research areas including FMCG, green ICT and supplier relationships. </w:t>
            </w:r>
          </w:p>
          <w:p w14:paraId="1D9D3E55" w14:textId="77777777" w:rsidR="00316E30" w:rsidRPr="001257D6" w:rsidRDefault="00316E30" w:rsidP="00394D22">
            <w:pPr>
              <w:spacing w:after="0" w:line="240" w:lineRule="auto"/>
              <w:jc w:val="both"/>
              <w:rPr>
                <w:bCs/>
                <w:sz w:val="20"/>
                <w:szCs w:val="20"/>
                <w:lang w:val="en-GB"/>
              </w:rPr>
            </w:pPr>
          </w:p>
          <w:p w14:paraId="346CFA40" w14:textId="77777777" w:rsidR="00316E30" w:rsidRPr="001257D6" w:rsidRDefault="00316E30" w:rsidP="00394D22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She has completed a DBL (Doctorate in Business Leadership) through the UNISA School of Business Leadership.  The topic of her dissertation </w:t>
            </w:r>
            <w:proofErr w:type="gramStart"/>
            <w:r w:rsidRPr="001257D6">
              <w:rPr>
                <w:sz w:val="20"/>
                <w:szCs w:val="20"/>
                <w:lang w:val="en-GB"/>
              </w:rPr>
              <w:t>was;</w:t>
            </w:r>
            <w:proofErr w:type="gramEnd"/>
            <w:r w:rsidRPr="001257D6">
              <w:rPr>
                <w:sz w:val="20"/>
                <w:szCs w:val="20"/>
                <w:lang w:val="en-GB"/>
              </w:rPr>
              <w:t xml:space="preserve"> “Developing a Relationship Value Model (RVM) for the South African B2B Automotive Supply Chain”. Her qualifications include a MBL (Masters in Business Leadership) from the UNISA School of Business Leadership, BCom marketing degree (UNISA), and National Executive Secretary Diploma (Former Technikon of Pretoria).</w:t>
            </w:r>
          </w:p>
          <w:p w14:paraId="53C94C01" w14:textId="77777777" w:rsidR="00316E30" w:rsidRPr="001257D6" w:rsidRDefault="00316E30" w:rsidP="00394D22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</w:p>
          <w:p w14:paraId="6C75ABA3" w14:textId="77777777" w:rsidR="00316E30" w:rsidRPr="001257D6" w:rsidRDefault="00316E30" w:rsidP="00394D22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1257D6">
              <w:rPr>
                <w:bCs/>
                <w:sz w:val="20"/>
                <w:szCs w:val="20"/>
                <w:lang w:val="en-GB"/>
              </w:rPr>
              <w:t>She joined UNISA in 2014 and s</w:t>
            </w:r>
            <w:r w:rsidRPr="001257D6">
              <w:rPr>
                <w:sz w:val="20"/>
                <w:szCs w:val="20"/>
                <w:lang w:val="en-GB"/>
              </w:rPr>
              <w:t xml:space="preserve">he comprises extensive working skills and knowledge accumulated over the past 25 years in the corporate industry.   </w:t>
            </w:r>
          </w:p>
        </w:tc>
        <w:tc>
          <w:tcPr>
            <w:tcW w:w="1196" w:type="dxa"/>
          </w:tcPr>
          <w:p w14:paraId="79466DEB" w14:textId="77777777" w:rsidR="00316E30" w:rsidRPr="001257D6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1257D6">
              <w:rPr>
                <w:b/>
                <w:bCs/>
                <w:sz w:val="20"/>
                <w:szCs w:val="20"/>
                <w:lang w:val="en-GB"/>
              </w:rPr>
              <w:t>Capacity</w:t>
            </w:r>
          </w:p>
          <w:p w14:paraId="1DF3CB2E" w14:textId="77777777" w:rsidR="00316E30" w:rsidRPr="001257D6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Up to</w:t>
            </w:r>
          </w:p>
          <w:p w14:paraId="2CC67276" w14:textId="77777777" w:rsidR="00316E30" w:rsidRPr="001257D6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2 master’s students;</w:t>
            </w:r>
          </w:p>
          <w:p w14:paraId="5421EF09" w14:textId="77777777" w:rsidR="00316E30" w:rsidRPr="001257D6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up to 2 doctorate students</w:t>
            </w:r>
          </w:p>
          <w:p w14:paraId="34DC01C4" w14:textId="77777777" w:rsidR="00316E30" w:rsidRPr="001257D6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tr w:rsidR="00316E30" w:rsidRPr="009B4C32" w14:paraId="376B283A" w14:textId="77777777" w:rsidTr="001257D6">
        <w:trPr>
          <w:trHeight w:val="276"/>
        </w:trPr>
        <w:tc>
          <w:tcPr>
            <w:tcW w:w="2518" w:type="dxa"/>
          </w:tcPr>
          <w:p w14:paraId="66080733" w14:textId="77777777" w:rsidR="00316E30" w:rsidRPr="009B4C32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9B4C32">
              <w:rPr>
                <w:b/>
                <w:bCs/>
                <w:sz w:val="20"/>
                <w:szCs w:val="20"/>
                <w:lang w:val="en-GB"/>
              </w:rPr>
              <w:t>Model of Supervision</w:t>
            </w:r>
          </w:p>
        </w:tc>
        <w:tc>
          <w:tcPr>
            <w:tcW w:w="6724" w:type="dxa"/>
            <w:gridSpan w:val="2"/>
          </w:tcPr>
          <w:p w14:paraId="5D090E76" w14:textId="77777777" w:rsidR="00316E30" w:rsidRPr="00AF35A7" w:rsidRDefault="00316E30" w:rsidP="00394D22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 xml:space="preserve">Students are initially allocated </w:t>
            </w:r>
            <w:r w:rsidRPr="00AF35A7">
              <w:rPr>
                <w:sz w:val="20"/>
                <w:szCs w:val="20"/>
                <w:lang w:val="en-GB"/>
              </w:rPr>
              <w:t>(</w:t>
            </w:r>
            <w:r w:rsidRPr="009B4C32">
              <w:rPr>
                <w:sz w:val="20"/>
                <w:szCs w:val="20"/>
                <w:lang w:val="en-GB"/>
              </w:rPr>
              <w:t xml:space="preserve">by the </w:t>
            </w:r>
            <w:r w:rsidRPr="00AF35A7">
              <w:rPr>
                <w:sz w:val="20"/>
                <w:szCs w:val="20"/>
                <w:lang w:val="en-GB"/>
              </w:rPr>
              <w:t>d</w:t>
            </w:r>
            <w:r w:rsidRPr="009B4C32">
              <w:rPr>
                <w:sz w:val="20"/>
                <w:szCs w:val="20"/>
                <w:lang w:val="en-GB"/>
              </w:rPr>
              <w:t xml:space="preserve">epartmental M&amp;D </w:t>
            </w:r>
            <w:r w:rsidRPr="00AF35A7">
              <w:rPr>
                <w:sz w:val="20"/>
                <w:szCs w:val="20"/>
                <w:lang w:val="en-GB"/>
              </w:rPr>
              <w:t>c</w:t>
            </w:r>
            <w:r w:rsidRPr="009B4C32">
              <w:rPr>
                <w:sz w:val="20"/>
                <w:szCs w:val="20"/>
                <w:lang w:val="en-GB"/>
              </w:rPr>
              <w:t>hairperson</w:t>
            </w:r>
            <w:r w:rsidRPr="00AF35A7">
              <w:rPr>
                <w:sz w:val="20"/>
                <w:szCs w:val="20"/>
                <w:lang w:val="en-GB"/>
              </w:rPr>
              <w:t>)</w:t>
            </w:r>
            <w:r w:rsidRPr="009B4C32">
              <w:rPr>
                <w:sz w:val="20"/>
                <w:szCs w:val="20"/>
                <w:lang w:val="en-GB"/>
              </w:rPr>
              <w:t xml:space="preserve"> to the Postgraduate Supervision (PGS) Committee of the Section: Operations Management according to selection of an applicable focus area(s). </w:t>
            </w:r>
            <w:r w:rsidRPr="00AF35A7">
              <w:rPr>
                <w:sz w:val="20"/>
                <w:szCs w:val="20"/>
                <w:lang w:val="en-GB"/>
              </w:rPr>
              <w:t>B</w:t>
            </w:r>
            <w:r w:rsidRPr="009B4C32">
              <w:rPr>
                <w:sz w:val="20"/>
                <w:szCs w:val="20"/>
                <w:lang w:val="en-GB"/>
              </w:rPr>
              <w:t xml:space="preserve">efore any student will be allocated, </w:t>
            </w:r>
            <w:r w:rsidRPr="00AF35A7">
              <w:rPr>
                <w:sz w:val="20"/>
                <w:szCs w:val="20"/>
                <w:lang w:val="en-GB"/>
              </w:rPr>
              <w:t>he/she</w:t>
            </w:r>
            <w:r w:rsidRPr="009B4C32">
              <w:rPr>
                <w:sz w:val="20"/>
                <w:szCs w:val="20"/>
                <w:lang w:val="en-GB"/>
              </w:rPr>
              <w:t xml:space="preserve"> should comply with the selection criteria in the next section.</w:t>
            </w:r>
          </w:p>
          <w:p w14:paraId="3F7CA407" w14:textId="77777777" w:rsidR="00316E30" w:rsidRPr="009B4C32" w:rsidRDefault="00316E30" w:rsidP="00394D22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</w:p>
          <w:p w14:paraId="2BAD6E3F" w14:textId="77777777" w:rsidR="00316E30" w:rsidRPr="009B4C32" w:rsidRDefault="00316E30" w:rsidP="00394D22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Apart from the formal approval of the proposal by a</w:t>
            </w:r>
            <w:r w:rsidRPr="00AF35A7">
              <w:rPr>
                <w:sz w:val="20"/>
                <w:szCs w:val="20"/>
                <w:lang w:val="en-GB"/>
              </w:rPr>
              <w:t xml:space="preserve">n </w:t>
            </w:r>
            <w:r w:rsidRPr="009B4C32">
              <w:rPr>
                <w:sz w:val="20"/>
                <w:szCs w:val="20"/>
                <w:lang w:val="en-GB"/>
              </w:rPr>
              <w:t>M&amp;D Colloquium arranged within the Section: Operations Management, students may be required to present their proposed research to the said colloquium.</w:t>
            </w:r>
          </w:p>
        </w:tc>
      </w:tr>
      <w:tr w:rsidR="00316E30" w:rsidRPr="009B4C32" w14:paraId="78E2EF31" w14:textId="77777777" w:rsidTr="001257D6">
        <w:trPr>
          <w:trHeight w:val="276"/>
        </w:trPr>
        <w:tc>
          <w:tcPr>
            <w:tcW w:w="2518" w:type="dxa"/>
          </w:tcPr>
          <w:p w14:paraId="24F2FB89" w14:textId="77777777" w:rsidR="00316E30" w:rsidRPr="009B4C32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9B4C32">
              <w:rPr>
                <w:b/>
                <w:bCs/>
                <w:sz w:val="20"/>
                <w:szCs w:val="20"/>
                <w:lang w:val="en-GB"/>
              </w:rPr>
              <w:t xml:space="preserve">Selection Criteria: MCom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and </w:t>
            </w:r>
            <w:r w:rsidRPr="009B4C32">
              <w:rPr>
                <w:b/>
                <w:bCs/>
                <w:sz w:val="20"/>
                <w:szCs w:val="20"/>
                <w:lang w:val="en-GB"/>
              </w:rPr>
              <w:t>DCom</w:t>
            </w:r>
          </w:p>
          <w:p w14:paraId="18A86EAB" w14:textId="77777777" w:rsidR="00316E30" w:rsidRPr="009B4C32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6724" w:type="dxa"/>
            <w:gridSpan w:val="2"/>
          </w:tcPr>
          <w:p w14:paraId="10AA5CEE" w14:textId="77777777" w:rsidR="00316E30" w:rsidRPr="009B4C32" w:rsidRDefault="00316E30" w:rsidP="00394D22">
            <w:pPr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 xml:space="preserve">In addition to the admission criteria in the </w:t>
            </w:r>
            <w:r w:rsidRPr="009B4C32">
              <w:rPr>
                <w:i/>
                <w:iCs/>
                <w:sz w:val="20"/>
                <w:szCs w:val="20"/>
                <w:lang w:val="en-GB"/>
              </w:rPr>
              <w:t>my</w:t>
            </w:r>
            <w:r w:rsidRPr="009B4C32">
              <w:rPr>
                <w:sz w:val="20"/>
                <w:szCs w:val="20"/>
                <w:lang w:val="en-GB"/>
              </w:rPr>
              <w:t xml:space="preserve">Choice brochure, potential students </w:t>
            </w:r>
            <w:r w:rsidRPr="00AF35A7">
              <w:rPr>
                <w:sz w:val="20"/>
                <w:szCs w:val="20"/>
                <w:lang w:val="en-GB"/>
              </w:rPr>
              <w:t>will be</w:t>
            </w:r>
            <w:r w:rsidRPr="009B4C32">
              <w:rPr>
                <w:sz w:val="20"/>
                <w:szCs w:val="20"/>
                <w:lang w:val="en-GB"/>
              </w:rPr>
              <w:t xml:space="preserve"> required to </w:t>
            </w:r>
            <w:r w:rsidRPr="0083044C">
              <w:rPr>
                <w:b/>
                <w:bCs/>
                <w:sz w:val="20"/>
                <w:szCs w:val="20"/>
                <w:lang w:val="en-GB"/>
              </w:rPr>
              <w:t>prepare a maximum three-page research framework</w:t>
            </w:r>
            <w:r w:rsidRPr="009B4C32">
              <w:rPr>
                <w:sz w:val="20"/>
                <w:szCs w:val="20"/>
                <w:lang w:val="en-GB"/>
              </w:rPr>
              <w:t xml:space="preserve"> describing the following:</w:t>
            </w:r>
          </w:p>
          <w:p w14:paraId="72BBE2E3" w14:textId="77777777" w:rsidR="00316E30" w:rsidRPr="009B4C32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The topic itself</w:t>
            </w:r>
          </w:p>
          <w:p w14:paraId="2CFC02CC" w14:textId="77777777" w:rsidR="00316E30" w:rsidRPr="009B4C32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What will be studied</w:t>
            </w:r>
          </w:p>
          <w:p w14:paraId="5B0407FA" w14:textId="77777777" w:rsidR="00316E30" w:rsidRPr="009B4C32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Why it will be studied</w:t>
            </w:r>
          </w:p>
          <w:p w14:paraId="44B2E0AE" w14:textId="77777777" w:rsidR="00316E30" w:rsidRPr="009B4C32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How it will be studied (literature and method)</w:t>
            </w:r>
          </w:p>
          <w:p w14:paraId="1D624B67" w14:textId="77777777" w:rsidR="00316E30" w:rsidRPr="009B4C32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Indicate where the study is located in terms of the existing literature</w:t>
            </w:r>
          </w:p>
          <w:p w14:paraId="5EF3803D" w14:textId="77777777" w:rsidR="00316E30" w:rsidRPr="009B4C32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Potential contribution of the study (doctoral)</w:t>
            </w:r>
          </w:p>
          <w:p w14:paraId="3E8B8B7D" w14:textId="77777777" w:rsidR="00316E30" w:rsidRPr="009B4C32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>Which research philosophy is applicable in the investigation and why</w:t>
            </w:r>
          </w:p>
          <w:p w14:paraId="0A730066" w14:textId="77777777" w:rsidR="00316E30" w:rsidRPr="005847C6" w:rsidRDefault="00316E30" w:rsidP="00394D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9B4C32">
              <w:rPr>
                <w:sz w:val="20"/>
                <w:szCs w:val="20"/>
                <w:lang w:val="en-GB"/>
              </w:rPr>
              <w:t xml:space="preserve">List of references (use </w:t>
            </w:r>
            <w:r w:rsidRPr="00AF35A7">
              <w:rPr>
                <w:sz w:val="20"/>
                <w:szCs w:val="20"/>
                <w:lang w:val="en-GB"/>
              </w:rPr>
              <w:t xml:space="preserve">the </w:t>
            </w:r>
            <w:r w:rsidRPr="009B4C32">
              <w:rPr>
                <w:sz w:val="20"/>
                <w:szCs w:val="20"/>
                <w:lang w:val="en-GB"/>
              </w:rPr>
              <w:t>Harvard r</w:t>
            </w:r>
            <w:r w:rsidRPr="005847C6">
              <w:rPr>
                <w:sz w:val="20"/>
                <w:szCs w:val="20"/>
                <w:lang w:val="en-GB"/>
              </w:rPr>
              <w:t>eferencing method)</w:t>
            </w:r>
          </w:p>
        </w:tc>
      </w:tr>
      <w:tr w:rsidR="00316E30" w:rsidRPr="0079615C" w14:paraId="4C8E8DF1" w14:textId="77777777" w:rsidTr="001257D6">
        <w:trPr>
          <w:trHeight w:val="276"/>
        </w:trPr>
        <w:tc>
          <w:tcPr>
            <w:tcW w:w="2518" w:type="dxa"/>
          </w:tcPr>
          <w:p w14:paraId="34FF1619" w14:textId="77777777" w:rsidR="00316E30" w:rsidRPr="0079615C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79615C">
              <w:rPr>
                <w:b/>
                <w:bCs/>
                <w:sz w:val="20"/>
                <w:szCs w:val="20"/>
                <w:lang w:val="en-GB"/>
              </w:rPr>
              <w:lastRenderedPageBreak/>
              <w:t xml:space="preserve">Documents to Support Application </w:t>
            </w:r>
          </w:p>
        </w:tc>
        <w:tc>
          <w:tcPr>
            <w:tcW w:w="6724" w:type="dxa"/>
            <w:gridSpan w:val="2"/>
          </w:tcPr>
          <w:p w14:paraId="38FF9B1E" w14:textId="77777777" w:rsidR="00316E30" w:rsidRPr="0079615C" w:rsidRDefault="00316E30" w:rsidP="00394D22">
            <w:pPr>
              <w:pStyle w:val="ListParagraph"/>
              <w:spacing w:after="0" w:line="240" w:lineRule="auto"/>
              <w:ind w:left="0"/>
              <w:jc w:val="both"/>
              <w:rPr>
                <w:color w:val="1E2921"/>
                <w:sz w:val="20"/>
                <w:szCs w:val="20"/>
                <w:lang w:val="en-GB"/>
              </w:rPr>
            </w:pPr>
            <w:r w:rsidRPr="0079615C">
              <w:rPr>
                <w:color w:val="1E2921"/>
                <w:sz w:val="20"/>
                <w:szCs w:val="20"/>
                <w:lang w:val="en-GB"/>
              </w:rPr>
              <w:t>One-page abbreviated CV, including:</w:t>
            </w:r>
          </w:p>
          <w:p w14:paraId="40EEA62A" w14:textId="77777777" w:rsidR="00316E30" w:rsidRPr="0079615C" w:rsidRDefault="00316E30" w:rsidP="00394D2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459"/>
              <w:jc w:val="both"/>
              <w:rPr>
                <w:color w:val="1E2921"/>
                <w:sz w:val="20"/>
                <w:szCs w:val="20"/>
                <w:lang w:val="en-GB"/>
              </w:rPr>
            </w:pPr>
            <w:r w:rsidRPr="0079615C">
              <w:rPr>
                <w:color w:val="1E2921"/>
                <w:sz w:val="20"/>
                <w:szCs w:val="20"/>
                <w:lang w:val="en-GB"/>
              </w:rPr>
              <w:t>Academic qualifications, indicating major subjects and score</w:t>
            </w:r>
          </w:p>
          <w:p w14:paraId="1E69720D" w14:textId="77777777" w:rsidR="00316E30" w:rsidRPr="0079615C" w:rsidRDefault="00316E30" w:rsidP="00394D2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459"/>
              <w:jc w:val="both"/>
              <w:rPr>
                <w:color w:val="1E2921"/>
                <w:sz w:val="20"/>
                <w:szCs w:val="20"/>
                <w:lang w:val="en-GB"/>
              </w:rPr>
            </w:pPr>
            <w:r w:rsidRPr="0079615C">
              <w:rPr>
                <w:color w:val="1E2921"/>
                <w:sz w:val="20"/>
                <w:szCs w:val="20"/>
                <w:lang w:val="en-GB"/>
              </w:rPr>
              <w:t>Work experience</w:t>
            </w:r>
          </w:p>
          <w:p w14:paraId="4E491990" w14:textId="77777777" w:rsidR="00316E30" w:rsidRPr="0079615C" w:rsidRDefault="00316E30" w:rsidP="00394D2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459"/>
              <w:jc w:val="both"/>
              <w:rPr>
                <w:color w:val="1E2921"/>
                <w:sz w:val="20"/>
                <w:szCs w:val="20"/>
                <w:lang w:val="en-GB"/>
              </w:rPr>
            </w:pPr>
            <w:r w:rsidRPr="0079615C">
              <w:rPr>
                <w:color w:val="1E2921"/>
                <w:sz w:val="20"/>
                <w:szCs w:val="20"/>
                <w:lang w:val="en-GB"/>
              </w:rPr>
              <w:t>Contact details</w:t>
            </w:r>
          </w:p>
          <w:p w14:paraId="65669608" w14:textId="77777777" w:rsidR="00316E30" w:rsidRPr="0079615C" w:rsidRDefault="00316E30" w:rsidP="00394D2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459"/>
              <w:jc w:val="both"/>
              <w:rPr>
                <w:color w:val="1E2921"/>
                <w:sz w:val="20"/>
                <w:szCs w:val="20"/>
                <w:lang w:val="en-GB"/>
              </w:rPr>
            </w:pPr>
            <w:r w:rsidRPr="0079615C">
              <w:rPr>
                <w:color w:val="1E2921"/>
                <w:sz w:val="20"/>
                <w:szCs w:val="20"/>
                <w:lang w:val="en-GB"/>
              </w:rPr>
              <w:t>Expression of interest (see selection criteria)</w:t>
            </w:r>
          </w:p>
          <w:p w14:paraId="2B96A040" w14:textId="77777777" w:rsidR="00316E30" w:rsidRPr="0079615C" w:rsidRDefault="00316E30" w:rsidP="00394D2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459"/>
              <w:jc w:val="both"/>
              <w:rPr>
                <w:color w:val="1E2921"/>
                <w:sz w:val="20"/>
                <w:szCs w:val="20"/>
                <w:lang w:val="en-GB"/>
              </w:rPr>
            </w:pPr>
            <w:r w:rsidRPr="0079615C">
              <w:rPr>
                <w:color w:val="1E2921"/>
                <w:sz w:val="20"/>
                <w:szCs w:val="20"/>
                <w:lang w:val="en-GB"/>
              </w:rPr>
              <w:t>Previous research, if any</w:t>
            </w:r>
          </w:p>
        </w:tc>
      </w:tr>
      <w:tr w:rsidR="00316E30" w:rsidRPr="0079615C" w14:paraId="03C0313B" w14:textId="77777777" w:rsidTr="001257D6">
        <w:trPr>
          <w:trHeight w:val="276"/>
        </w:trPr>
        <w:tc>
          <w:tcPr>
            <w:tcW w:w="2518" w:type="dxa"/>
          </w:tcPr>
          <w:p w14:paraId="13E83676" w14:textId="77777777" w:rsidR="00316E30" w:rsidRPr="0079615C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79615C">
              <w:rPr>
                <w:b/>
                <w:bCs/>
                <w:sz w:val="20"/>
                <w:szCs w:val="20"/>
                <w:lang w:val="en-GB"/>
              </w:rPr>
              <w:t>Research Agenda</w:t>
            </w:r>
          </w:p>
        </w:tc>
        <w:tc>
          <w:tcPr>
            <w:tcW w:w="6724" w:type="dxa"/>
            <w:gridSpan w:val="2"/>
          </w:tcPr>
          <w:p w14:paraId="4E7E1386" w14:textId="77777777" w:rsidR="00316E30" w:rsidRPr="0079615C" w:rsidRDefault="00316E30" w:rsidP="00394D22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79615C">
              <w:rPr>
                <w:color w:val="000000"/>
                <w:sz w:val="20"/>
                <w:szCs w:val="20"/>
                <w:lang w:val="en-GB"/>
              </w:rPr>
              <w:t xml:space="preserve">Production and operations management (POM) involves the management of the </w:t>
            </w:r>
            <w:r w:rsidRPr="00DA0CC4">
              <w:rPr>
                <w:bCs/>
                <w:color w:val="000000"/>
                <w:sz w:val="20"/>
                <w:szCs w:val="20"/>
                <w:lang w:val="en-GB"/>
              </w:rPr>
              <w:t>transformation process(es)</w:t>
            </w:r>
            <w:r w:rsidRPr="0079615C">
              <w:rPr>
                <w:color w:val="000000"/>
                <w:sz w:val="20"/>
                <w:szCs w:val="20"/>
                <w:lang w:val="en-GB"/>
              </w:rPr>
              <w:t xml:space="preserve"> in a business that provide both the capacity and capability to manufacture products or goods and/or render or deliver services to customers/clients. </w:t>
            </w:r>
            <w:r w:rsidRPr="00DA0CC4">
              <w:rPr>
                <w:bCs/>
                <w:color w:val="000000"/>
                <w:sz w:val="20"/>
                <w:szCs w:val="20"/>
                <w:lang w:val="en-GB"/>
              </w:rPr>
              <w:t>POM is arguably the closest that a business can come “to the act of creation” and is therefore one of the foremost functions in a business that creates value.</w:t>
            </w:r>
            <w:r w:rsidRPr="0079615C">
              <w:rPr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 w:rsidRPr="0079615C">
              <w:rPr>
                <w:color w:val="000000"/>
                <w:sz w:val="20"/>
                <w:szCs w:val="20"/>
                <w:lang w:val="en-GB"/>
              </w:rPr>
              <w:t xml:space="preserve">POM is thus directly concerned with satisfying the needs of customers with creative product/service offerings, improving productivity and adding value. The </w:t>
            </w:r>
            <w:r w:rsidRPr="0079615C">
              <w:rPr>
                <w:rFonts w:cs="Comic Sans MS"/>
                <w:bCs/>
                <w:sz w:val="20"/>
                <w:szCs w:val="20"/>
                <w:lang w:val="en-GB"/>
              </w:rPr>
              <w:t xml:space="preserve">operational process of a business can be considered the “heart of the organisation”, its “engine”, and driver of value creation for customers. This engine must be designed, planned, activated, maintained, improved and controlled. </w:t>
            </w:r>
            <w:r w:rsidRPr="0079615C">
              <w:rPr>
                <w:rFonts w:cs="Comic Sans MS"/>
                <w:sz w:val="20"/>
                <w:szCs w:val="20"/>
                <w:lang w:val="en-GB"/>
              </w:rPr>
              <w:t xml:space="preserve">In the 1980s, the subject became more popular with the recognition that the manufacturing strategy was an integral part of the overall business strategy </w:t>
            </w:r>
            <w:r w:rsidRPr="00AF35A7">
              <w:rPr>
                <w:rFonts w:cs="Comic Sans MS"/>
                <w:sz w:val="20"/>
                <w:szCs w:val="20"/>
                <w:lang w:val="en-GB"/>
              </w:rPr>
              <w:t xml:space="preserve">and </w:t>
            </w:r>
            <w:r w:rsidRPr="0079615C">
              <w:rPr>
                <w:rFonts w:cs="Comic Sans MS"/>
                <w:sz w:val="20"/>
                <w:szCs w:val="20"/>
                <w:lang w:val="en-GB"/>
              </w:rPr>
              <w:t xml:space="preserve">with the adoption of concepts such as lean production/manufacturing, JIT (just-in-time), TQC (total quality control), factory automation and synchronous manufacturing. In the 1990s several other popular concepts followed, such as BPR (business process re-engineering), TQM (total quality management), </w:t>
            </w:r>
            <w:r w:rsidRPr="00AF35A7">
              <w:rPr>
                <w:rFonts w:cs="Comic Sans MS"/>
                <w:sz w:val="20"/>
                <w:szCs w:val="20"/>
                <w:lang w:val="en-GB"/>
              </w:rPr>
              <w:t xml:space="preserve">the </w:t>
            </w:r>
            <w:r w:rsidRPr="0079615C">
              <w:rPr>
                <w:rFonts w:cs="Comic Sans MS"/>
                <w:sz w:val="20"/>
                <w:szCs w:val="20"/>
                <w:lang w:val="en-GB"/>
              </w:rPr>
              <w:t>PMBOK</w:t>
            </w:r>
            <w:r w:rsidRPr="0079615C">
              <w:rPr>
                <w:sz w:val="20"/>
                <w:szCs w:val="20"/>
                <w:lang w:val="en-GB"/>
              </w:rPr>
              <w:t>® Guide</w:t>
            </w:r>
            <w:r w:rsidRPr="0079615C">
              <w:rPr>
                <w:rFonts w:cs="Comic Sans MS"/>
                <w:sz w:val="20"/>
                <w:szCs w:val="20"/>
                <w:lang w:val="en-GB"/>
              </w:rPr>
              <w:t xml:space="preserve"> (project management body of knowledge) and so on. </w:t>
            </w:r>
          </w:p>
          <w:p w14:paraId="55BFE088" w14:textId="77777777" w:rsidR="00316E30" w:rsidRPr="0079615C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3D15ADFA" w14:textId="77777777" w:rsidR="00316E30" w:rsidRPr="0079615C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79615C">
              <w:rPr>
                <w:sz w:val="20"/>
                <w:szCs w:val="20"/>
                <w:lang w:val="en-GB"/>
              </w:rPr>
              <w:t xml:space="preserve">The POM – Strategy and </w:t>
            </w:r>
            <w:r w:rsidRPr="00AF35A7">
              <w:rPr>
                <w:sz w:val="20"/>
                <w:szCs w:val="20"/>
                <w:lang w:val="en-GB"/>
              </w:rPr>
              <w:t>I</w:t>
            </w:r>
            <w:r w:rsidRPr="00DA0CC4">
              <w:rPr>
                <w:sz w:val="20"/>
                <w:szCs w:val="20"/>
                <w:lang w:val="en-GB"/>
              </w:rPr>
              <w:t xml:space="preserve">mprovement </w:t>
            </w:r>
            <w:r w:rsidRPr="00AF35A7">
              <w:rPr>
                <w:sz w:val="20"/>
                <w:szCs w:val="20"/>
                <w:lang w:val="en-GB"/>
              </w:rPr>
              <w:t xml:space="preserve">focus area </w:t>
            </w:r>
            <w:r w:rsidRPr="0079615C">
              <w:rPr>
                <w:sz w:val="20"/>
                <w:szCs w:val="20"/>
                <w:lang w:val="en-GB"/>
              </w:rPr>
              <w:t>sets the scope of research topics that can be accepted within this focus area. Unfortunately, proposed topics which fall outside this delineation will not be considered.</w:t>
            </w:r>
          </w:p>
        </w:tc>
      </w:tr>
      <w:tr w:rsidR="00316E30" w:rsidRPr="0079615C" w14:paraId="001408AF" w14:textId="77777777" w:rsidTr="001257D6">
        <w:trPr>
          <w:trHeight w:val="276"/>
        </w:trPr>
        <w:tc>
          <w:tcPr>
            <w:tcW w:w="2518" w:type="dxa"/>
          </w:tcPr>
          <w:p w14:paraId="7F2D5D00" w14:textId="77777777" w:rsidR="00316E30" w:rsidRPr="0079615C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79615C">
              <w:rPr>
                <w:b/>
                <w:bCs/>
                <w:sz w:val="20"/>
                <w:szCs w:val="20"/>
                <w:lang w:val="en-GB"/>
              </w:rPr>
              <w:t xml:space="preserve">Reading: </w:t>
            </w:r>
          </w:p>
          <w:p w14:paraId="0A55CE87" w14:textId="77777777" w:rsidR="00316E30" w:rsidRPr="0079615C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79615C">
              <w:rPr>
                <w:b/>
                <w:bCs/>
                <w:sz w:val="20"/>
                <w:szCs w:val="20"/>
                <w:lang w:val="en-GB"/>
              </w:rPr>
              <w:t>Subject Field</w:t>
            </w:r>
          </w:p>
        </w:tc>
        <w:tc>
          <w:tcPr>
            <w:tcW w:w="6724" w:type="dxa"/>
            <w:gridSpan w:val="2"/>
          </w:tcPr>
          <w:p w14:paraId="18E0B888" w14:textId="77777777" w:rsidR="00316E30" w:rsidRPr="0079615C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AF35A7">
              <w:rPr>
                <w:sz w:val="20"/>
                <w:szCs w:val="20"/>
                <w:lang w:val="en-GB"/>
              </w:rPr>
              <w:t>Journal a</w:t>
            </w:r>
            <w:r w:rsidRPr="0079615C">
              <w:rPr>
                <w:sz w:val="20"/>
                <w:szCs w:val="20"/>
                <w:lang w:val="en-GB"/>
              </w:rPr>
              <w:t>rticles</w:t>
            </w:r>
            <w:r w:rsidRPr="00AF35A7">
              <w:rPr>
                <w:sz w:val="20"/>
                <w:szCs w:val="20"/>
                <w:lang w:val="en-GB"/>
              </w:rPr>
              <w:t xml:space="preserve"> and</w:t>
            </w:r>
            <w:r w:rsidRPr="0079615C">
              <w:rPr>
                <w:sz w:val="20"/>
                <w:szCs w:val="20"/>
                <w:lang w:val="en-GB"/>
              </w:rPr>
              <w:t xml:space="preserve"> textbooks on production and operations management, operations strategy and operations improvement</w:t>
            </w:r>
          </w:p>
        </w:tc>
      </w:tr>
      <w:tr w:rsidR="00316E30" w:rsidRPr="005847C6" w14:paraId="6F4CD3FB" w14:textId="77777777" w:rsidTr="001257D6">
        <w:trPr>
          <w:trHeight w:val="276"/>
        </w:trPr>
        <w:tc>
          <w:tcPr>
            <w:tcW w:w="2518" w:type="dxa"/>
          </w:tcPr>
          <w:p w14:paraId="1B9DDBCC" w14:textId="77777777" w:rsidR="00316E30" w:rsidRPr="0079615C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79615C">
              <w:rPr>
                <w:b/>
                <w:bCs/>
                <w:sz w:val="20"/>
                <w:szCs w:val="20"/>
                <w:lang w:val="en-GB"/>
              </w:rPr>
              <w:t xml:space="preserve">Reading: </w:t>
            </w:r>
          </w:p>
          <w:p w14:paraId="1205D9C2" w14:textId="77777777" w:rsidR="00316E30" w:rsidRPr="0079615C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79615C">
              <w:rPr>
                <w:b/>
                <w:bCs/>
                <w:sz w:val="20"/>
                <w:szCs w:val="20"/>
                <w:lang w:val="en-GB"/>
              </w:rPr>
              <w:t>Research Methodology</w:t>
            </w:r>
          </w:p>
        </w:tc>
        <w:tc>
          <w:tcPr>
            <w:tcW w:w="6724" w:type="dxa"/>
            <w:gridSpan w:val="2"/>
          </w:tcPr>
          <w:p w14:paraId="057FB4E2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sz w:val="20"/>
                <w:szCs w:val="20"/>
                <w:lang w:val="en-GB"/>
              </w:rPr>
              <w:t>Bak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N. 2004. </w:t>
            </w:r>
            <w:r w:rsidRPr="001257D6">
              <w:rPr>
                <w:i/>
                <w:sz w:val="20"/>
                <w:szCs w:val="20"/>
                <w:lang w:val="en-GB"/>
              </w:rPr>
              <w:t>Completing your thesis: A practical guide</w:t>
            </w:r>
            <w:r w:rsidRPr="001257D6">
              <w:rPr>
                <w:sz w:val="20"/>
                <w:szCs w:val="20"/>
                <w:lang w:val="en-GB"/>
              </w:rPr>
              <w:t>. Pretoria: Van Schaik.</w:t>
            </w:r>
          </w:p>
          <w:p w14:paraId="0F4AE792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sz w:val="20"/>
                <w:szCs w:val="20"/>
                <w:lang w:val="en-GB"/>
              </w:rPr>
              <w:t>Brynard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P.A. &amp; </w:t>
            </w:r>
            <w:proofErr w:type="spellStart"/>
            <w:r w:rsidRPr="001257D6">
              <w:rPr>
                <w:sz w:val="20"/>
                <w:szCs w:val="20"/>
                <w:lang w:val="en-GB"/>
              </w:rPr>
              <w:t>Hanekom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S.X. 2006. </w:t>
            </w:r>
            <w:r w:rsidRPr="001257D6">
              <w:rPr>
                <w:i/>
                <w:sz w:val="20"/>
                <w:szCs w:val="20"/>
                <w:lang w:val="en-GB"/>
              </w:rPr>
              <w:t>Introduction to research in management-related fields.</w:t>
            </w:r>
            <w:r w:rsidRPr="001257D6">
              <w:rPr>
                <w:sz w:val="20"/>
                <w:szCs w:val="20"/>
                <w:lang w:val="en-GB"/>
              </w:rPr>
              <w:t xml:space="preserve"> 2nd edition. Pretoria: Van Schaik.</w:t>
            </w:r>
          </w:p>
          <w:p w14:paraId="47A2789F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Collis, J &amp; Hussey, R. 2009. </w:t>
            </w:r>
            <w:r w:rsidRPr="001257D6">
              <w:rPr>
                <w:i/>
                <w:sz w:val="20"/>
                <w:szCs w:val="20"/>
                <w:lang w:val="en-GB"/>
              </w:rPr>
              <w:t>Business research: A practical guide for undergraduate and postgraduate students</w:t>
            </w:r>
            <w:r w:rsidRPr="001257D6">
              <w:rPr>
                <w:sz w:val="20"/>
                <w:szCs w:val="20"/>
                <w:lang w:val="en-GB"/>
              </w:rPr>
              <w:t>. 3rd edition. London: Palgrave MacMillan.</w:t>
            </w:r>
          </w:p>
          <w:p w14:paraId="3EFA4886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de-DE"/>
              </w:rPr>
              <w:t xml:space="preserve">Cooper, D.R. &amp; Schindler, P.S. 2008. </w:t>
            </w:r>
            <w:r w:rsidRPr="001257D6">
              <w:rPr>
                <w:i/>
                <w:sz w:val="20"/>
                <w:szCs w:val="20"/>
                <w:lang w:val="en-GB"/>
              </w:rPr>
              <w:t>Business research methods.</w:t>
            </w:r>
            <w:r w:rsidRPr="001257D6">
              <w:rPr>
                <w:sz w:val="20"/>
                <w:szCs w:val="20"/>
                <w:lang w:val="en-GB"/>
              </w:rPr>
              <w:t xml:space="preserve"> 10th edition. New York: McGraw-Hill.</w:t>
            </w:r>
          </w:p>
          <w:p w14:paraId="22BD1193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sz w:val="20"/>
                <w:szCs w:val="20"/>
                <w:lang w:val="en-GB"/>
              </w:rPr>
              <w:t>Hallebone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E. &amp; Priest, J. 2009. </w:t>
            </w:r>
            <w:r w:rsidRPr="001257D6">
              <w:rPr>
                <w:i/>
                <w:sz w:val="20"/>
                <w:szCs w:val="20"/>
                <w:lang w:val="en-GB"/>
              </w:rPr>
              <w:t>Business and management research: Paradigms and practices</w:t>
            </w:r>
            <w:r w:rsidRPr="001257D6">
              <w:rPr>
                <w:sz w:val="20"/>
                <w:szCs w:val="20"/>
                <w:lang w:val="en-GB"/>
              </w:rPr>
              <w:t>. London: Palgrave MacMillan.</w:t>
            </w:r>
          </w:p>
          <w:p w14:paraId="4A580686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Henning, E., </w:t>
            </w:r>
            <w:proofErr w:type="spellStart"/>
            <w:r w:rsidRPr="001257D6">
              <w:rPr>
                <w:sz w:val="20"/>
                <w:szCs w:val="20"/>
                <w:lang w:val="en-GB"/>
              </w:rPr>
              <w:t>Gravett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S. &amp; Van Rensburg, W. 2005. </w:t>
            </w:r>
            <w:r w:rsidRPr="001257D6">
              <w:rPr>
                <w:i/>
                <w:sz w:val="20"/>
                <w:szCs w:val="20"/>
                <w:lang w:val="en-GB"/>
              </w:rPr>
              <w:t>Finding your way in academic writing</w:t>
            </w:r>
            <w:r w:rsidRPr="001257D6">
              <w:rPr>
                <w:sz w:val="20"/>
                <w:szCs w:val="20"/>
                <w:lang w:val="en-GB"/>
              </w:rPr>
              <w:t>. 2nd edition. Pretoria: Van Schaik.</w:t>
            </w:r>
          </w:p>
          <w:p w14:paraId="2DFF1F84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Leedy, P.D. &amp; Ormrod, J.E. 2005. </w:t>
            </w:r>
            <w:r w:rsidRPr="001257D6">
              <w:rPr>
                <w:i/>
                <w:sz w:val="20"/>
                <w:szCs w:val="20"/>
                <w:lang w:val="en-GB"/>
              </w:rPr>
              <w:t>Practical research: Planning and design.</w:t>
            </w:r>
            <w:r w:rsidRPr="001257D6">
              <w:rPr>
                <w:sz w:val="20"/>
                <w:szCs w:val="20"/>
                <w:lang w:val="en-GB"/>
              </w:rPr>
              <w:t xml:space="preserve"> 8th edition. Upper Saddle River, NJ: Pearson.</w:t>
            </w:r>
          </w:p>
          <w:p w14:paraId="2F68E6D1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Mouton, J. 2001. How </w:t>
            </w:r>
            <w:r w:rsidRPr="001257D6">
              <w:rPr>
                <w:i/>
                <w:iCs/>
                <w:sz w:val="20"/>
                <w:szCs w:val="20"/>
                <w:lang w:val="en-GB"/>
              </w:rPr>
              <w:t>to succeed in your master's and doctoral studies</w:t>
            </w:r>
            <w:r w:rsidRPr="001257D6">
              <w:rPr>
                <w:sz w:val="20"/>
                <w:szCs w:val="20"/>
                <w:lang w:val="en-GB"/>
              </w:rPr>
              <w:t xml:space="preserve">: </w:t>
            </w:r>
            <w:r w:rsidRPr="001257D6">
              <w:rPr>
                <w:i/>
                <w:iCs/>
                <w:sz w:val="20"/>
                <w:szCs w:val="20"/>
                <w:lang w:val="en-GB"/>
              </w:rPr>
              <w:t>A South African guide and resource book.</w:t>
            </w:r>
            <w:r w:rsidRPr="001257D6">
              <w:rPr>
                <w:sz w:val="20"/>
                <w:szCs w:val="20"/>
                <w:lang w:val="en-GB"/>
              </w:rPr>
              <w:t xml:space="preserve"> Pretoria: Van Schaik.</w:t>
            </w:r>
          </w:p>
          <w:p w14:paraId="666BADED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Salkind, N.J. 2006. </w:t>
            </w:r>
            <w:r w:rsidRPr="001257D6">
              <w:rPr>
                <w:i/>
                <w:sz w:val="20"/>
                <w:szCs w:val="20"/>
                <w:lang w:val="en-GB"/>
              </w:rPr>
              <w:t>Exploring research</w:t>
            </w:r>
            <w:r w:rsidRPr="001257D6">
              <w:rPr>
                <w:sz w:val="20"/>
                <w:szCs w:val="20"/>
                <w:lang w:val="en-GB"/>
              </w:rPr>
              <w:t>. 6th edition. Upper Saddle River, NJ: Pearson.</w:t>
            </w:r>
          </w:p>
          <w:p w14:paraId="4BFC3A4F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Saunders, M., Lewis, P. &amp; Thornhill, A. 2013. </w:t>
            </w:r>
            <w:r w:rsidRPr="001257D6">
              <w:rPr>
                <w:i/>
                <w:sz w:val="20"/>
                <w:szCs w:val="20"/>
                <w:lang w:val="en-GB"/>
              </w:rPr>
              <w:t>Research methods for business students</w:t>
            </w:r>
            <w:r w:rsidRPr="001257D6">
              <w:rPr>
                <w:sz w:val="20"/>
                <w:szCs w:val="20"/>
                <w:lang w:val="en-GB"/>
              </w:rPr>
              <w:t>. 6th edition. Upper Saddle River, NJ: Pearson.</w:t>
            </w:r>
          </w:p>
          <w:p w14:paraId="2655C10B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Vithal, R. &amp; Jansen, J. 2003. </w:t>
            </w:r>
            <w:r w:rsidRPr="001257D6">
              <w:rPr>
                <w:i/>
                <w:sz w:val="20"/>
                <w:szCs w:val="20"/>
                <w:lang w:val="en-GB"/>
              </w:rPr>
              <w:t xml:space="preserve">Designing your first research proposal. </w:t>
            </w:r>
            <w:r w:rsidRPr="001257D6">
              <w:rPr>
                <w:sz w:val="20"/>
                <w:szCs w:val="20"/>
                <w:lang w:val="en-GB"/>
              </w:rPr>
              <w:t>Kenwyn: Juta.</w:t>
            </w:r>
          </w:p>
          <w:p w14:paraId="42DB7C64" w14:textId="77777777" w:rsidR="00316E30" w:rsidRPr="001257D6" w:rsidRDefault="00316E30" w:rsidP="00394D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9" w:hanging="439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i/>
                <w:iCs/>
                <w:sz w:val="20"/>
                <w:szCs w:val="20"/>
                <w:lang w:val="en-GB"/>
              </w:rPr>
              <w:t>Welman</w:t>
            </w:r>
            <w:proofErr w:type="spellEnd"/>
            <w:r w:rsidRPr="001257D6">
              <w:rPr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1257D6">
              <w:rPr>
                <w:sz w:val="20"/>
                <w:szCs w:val="20"/>
                <w:lang w:val="en-GB"/>
              </w:rPr>
              <w:t xml:space="preserve">C., Kruger, F. &amp; Mitchell, B. 2005. </w:t>
            </w:r>
            <w:r w:rsidRPr="001257D6">
              <w:rPr>
                <w:i/>
                <w:sz w:val="20"/>
                <w:szCs w:val="20"/>
                <w:lang w:val="en-GB"/>
              </w:rPr>
              <w:t>Research methodology</w:t>
            </w:r>
            <w:r w:rsidRPr="001257D6">
              <w:rPr>
                <w:sz w:val="20"/>
                <w:szCs w:val="20"/>
                <w:lang w:val="en-GB"/>
              </w:rPr>
              <w:t>. 3rd edition. Cape Town: Oxford University Press.</w:t>
            </w:r>
          </w:p>
          <w:p w14:paraId="793FE769" w14:textId="77777777" w:rsidR="00316E30" w:rsidRPr="001257D6" w:rsidRDefault="00316E30" w:rsidP="00394D22">
            <w:pPr>
              <w:numPr>
                <w:ilvl w:val="0"/>
                <w:numId w:val="1"/>
              </w:numPr>
              <w:spacing w:after="0" w:line="240" w:lineRule="auto"/>
              <w:ind w:left="459" w:hanging="439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lastRenderedPageBreak/>
              <w:t xml:space="preserve">Zikmund, W.G. 2003. </w:t>
            </w:r>
            <w:r w:rsidRPr="001257D6">
              <w:rPr>
                <w:i/>
                <w:sz w:val="20"/>
                <w:szCs w:val="20"/>
                <w:lang w:val="en-GB"/>
              </w:rPr>
              <w:t>Business research methods,</w:t>
            </w:r>
            <w:r w:rsidRPr="001257D6">
              <w:rPr>
                <w:sz w:val="20"/>
                <w:szCs w:val="20"/>
                <w:lang w:val="en-GB"/>
              </w:rPr>
              <w:t xml:space="preserve"> 7th edition. Mason, OH Thomson/South-western.</w:t>
            </w:r>
          </w:p>
          <w:p w14:paraId="239D943E" w14:textId="77777777" w:rsidR="00316E30" w:rsidRPr="001257D6" w:rsidRDefault="00316E30" w:rsidP="00394D22">
            <w:pPr>
              <w:numPr>
                <w:ilvl w:val="0"/>
                <w:numId w:val="1"/>
              </w:numPr>
              <w:spacing w:after="0" w:line="240" w:lineRule="auto"/>
              <w:ind w:left="459" w:hanging="439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Hair, J., Black, W., Babin, B., and Anderson, R., R. 2010. </w:t>
            </w:r>
            <w:r w:rsidRPr="001257D6">
              <w:rPr>
                <w:sz w:val="20"/>
                <w:szCs w:val="20"/>
                <w:lang w:val="it-IT"/>
              </w:rPr>
              <w:t xml:space="preserve">‘Multivariate data analysis’. 7th ed. </w:t>
            </w:r>
            <w:r w:rsidRPr="001257D6">
              <w:rPr>
                <w:sz w:val="20"/>
                <w:szCs w:val="20"/>
                <w:lang w:val="en-GB"/>
              </w:rPr>
              <w:t>Pearson Prentice Hall, Upper Saddle River, New Jersey</w:t>
            </w:r>
          </w:p>
        </w:tc>
      </w:tr>
      <w:tr w:rsidR="00316E30" w:rsidRPr="005847C6" w14:paraId="3901E4E2" w14:textId="77777777" w:rsidTr="001257D6">
        <w:trPr>
          <w:trHeight w:val="276"/>
        </w:trPr>
        <w:tc>
          <w:tcPr>
            <w:tcW w:w="2518" w:type="dxa"/>
          </w:tcPr>
          <w:p w14:paraId="716D2CA2" w14:textId="77777777" w:rsidR="00316E30" w:rsidRPr="005847C6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5847C6">
              <w:rPr>
                <w:b/>
                <w:bCs/>
                <w:sz w:val="20"/>
                <w:szCs w:val="20"/>
                <w:lang w:val="en-GB"/>
              </w:rPr>
              <w:lastRenderedPageBreak/>
              <w:t xml:space="preserve">Resources: </w:t>
            </w:r>
          </w:p>
          <w:p w14:paraId="045624C9" w14:textId="77777777" w:rsidR="00316E30" w:rsidRPr="005847C6" w:rsidRDefault="00316E30" w:rsidP="00394D22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5847C6">
              <w:rPr>
                <w:b/>
                <w:bCs/>
                <w:sz w:val="20"/>
                <w:szCs w:val="20"/>
                <w:lang w:val="en-GB"/>
              </w:rPr>
              <w:t>Scholar Community</w:t>
            </w:r>
          </w:p>
        </w:tc>
        <w:tc>
          <w:tcPr>
            <w:tcW w:w="6724" w:type="dxa"/>
            <w:gridSpan w:val="2"/>
          </w:tcPr>
          <w:p w14:paraId="77CDF614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Barnes, D. 2008. </w:t>
            </w:r>
            <w:r w:rsidRPr="001257D6">
              <w:rPr>
                <w:i/>
                <w:sz w:val="20"/>
                <w:szCs w:val="20"/>
                <w:lang w:val="en-GB"/>
              </w:rPr>
              <w:t>Operations management: An international perspective</w:t>
            </w:r>
            <w:r w:rsidRPr="001257D6">
              <w:rPr>
                <w:sz w:val="20"/>
                <w:szCs w:val="20"/>
                <w:lang w:val="en-GB"/>
              </w:rPr>
              <w:t xml:space="preserve">. London: Thomson. </w:t>
            </w:r>
          </w:p>
          <w:p w14:paraId="33664CE9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Evans, J.R. &amp; Collier, D.A. 2007. </w:t>
            </w:r>
            <w:r w:rsidRPr="001257D6">
              <w:rPr>
                <w:i/>
                <w:sz w:val="20"/>
                <w:szCs w:val="20"/>
                <w:lang w:val="en-GB"/>
              </w:rPr>
              <w:t>Operations management: An integrated goods and services approach</w:t>
            </w:r>
            <w:r w:rsidRPr="001257D6">
              <w:rPr>
                <w:sz w:val="20"/>
                <w:szCs w:val="20"/>
                <w:lang w:val="en-GB"/>
              </w:rPr>
              <w:t xml:space="preserve">. Mason, OH: Thomson South-western. </w:t>
            </w:r>
          </w:p>
          <w:p w14:paraId="76A152FE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sz w:val="20"/>
                <w:szCs w:val="20"/>
                <w:lang w:val="en-GB"/>
              </w:rPr>
              <w:t>Krajewski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L.J., </w:t>
            </w:r>
            <w:proofErr w:type="spellStart"/>
            <w:r w:rsidRPr="001257D6">
              <w:rPr>
                <w:sz w:val="20"/>
                <w:szCs w:val="20"/>
                <w:lang w:val="en-GB"/>
              </w:rPr>
              <w:t>Ritzman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L.P. &amp; Malhotra, M.K. 2010. </w:t>
            </w:r>
            <w:r w:rsidRPr="001257D6">
              <w:rPr>
                <w:i/>
                <w:sz w:val="20"/>
                <w:szCs w:val="20"/>
                <w:lang w:val="en-GB"/>
              </w:rPr>
              <w:t>Operations management: Processes and supply chains</w:t>
            </w:r>
            <w:r w:rsidRPr="001257D6">
              <w:rPr>
                <w:sz w:val="20"/>
                <w:szCs w:val="20"/>
                <w:lang w:val="en-GB"/>
              </w:rPr>
              <w:t xml:space="preserve">. 9th edition. Upper Saddle River, NJ: Pearson Education. </w:t>
            </w:r>
          </w:p>
          <w:p w14:paraId="25F9DE00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sz w:val="20"/>
                <w:szCs w:val="20"/>
                <w:lang w:val="en-GB"/>
              </w:rPr>
              <w:t>Martinich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J.S. 1997. </w:t>
            </w:r>
            <w:r w:rsidRPr="001257D6">
              <w:rPr>
                <w:i/>
                <w:sz w:val="20"/>
                <w:szCs w:val="20"/>
                <w:lang w:val="en-GB"/>
              </w:rPr>
              <w:t>Production and operations management: An applied modern approach</w:t>
            </w:r>
            <w:r w:rsidRPr="001257D6">
              <w:rPr>
                <w:sz w:val="20"/>
                <w:szCs w:val="20"/>
                <w:lang w:val="en-GB"/>
              </w:rPr>
              <w:t xml:space="preserve">. New York: Wiley. </w:t>
            </w:r>
          </w:p>
          <w:p w14:paraId="7DC6660F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de-DE"/>
              </w:rPr>
              <w:t xml:space="preserve">Melnyk, S.A. &amp; Denzler, D.R. 1996. </w:t>
            </w:r>
            <w:r w:rsidRPr="001257D6">
              <w:rPr>
                <w:sz w:val="20"/>
                <w:szCs w:val="20"/>
                <w:lang w:val="en-GB"/>
              </w:rPr>
              <w:t xml:space="preserve">Operations management: A value-driven approach. Chicago, IL: Irwin. </w:t>
            </w:r>
          </w:p>
          <w:p w14:paraId="3F465944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Melnyk, S.A. &amp; Swink, M. 2002. </w:t>
            </w:r>
            <w:r w:rsidRPr="001257D6">
              <w:rPr>
                <w:i/>
                <w:sz w:val="20"/>
                <w:szCs w:val="20"/>
                <w:lang w:val="en-GB"/>
              </w:rPr>
              <w:t>Value-driven operations management: An integrated modular approach</w:t>
            </w:r>
            <w:r w:rsidRPr="001257D6">
              <w:rPr>
                <w:sz w:val="20"/>
                <w:szCs w:val="20"/>
                <w:lang w:val="en-GB"/>
              </w:rPr>
              <w:t xml:space="preserve">. New York: McGraw-Hill. </w:t>
            </w:r>
          </w:p>
          <w:p w14:paraId="08DB5D73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Reid, R.D. &amp; Sanders, N.R. 2002. </w:t>
            </w:r>
            <w:r w:rsidRPr="001257D6">
              <w:rPr>
                <w:i/>
                <w:sz w:val="20"/>
                <w:szCs w:val="20"/>
                <w:lang w:val="en-GB"/>
              </w:rPr>
              <w:t>Operations management</w:t>
            </w:r>
            <w:r w:rsidRPr="001257D6">
              <w:rPr>
                <w:sz w:val="20"/>
                <w:szCs w:val="20"/>
                <w:lang w:val="en-GB"/>
              </w:rPr>
              <w:t xml:space="preserve">. New York: Wiley. </w:t>
            </w:r>
          </w:p>
          <w:p w14:paraId="629CACCA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Schroeder, R.G. 2000. </w:t>
            </w:r>
            <w:r w:rsidRPr="001257D6">
              <w:rPr>
                <w:i/>
                <w:sz w:val="20"/>
                <w:szCs w:val="20"/>
                <w:lang w:val="en-GB"/>
              </w:rPr>
              <w:t>Operations management: Contemporary concepts and cases</w:t>
            </w:r>
            <w:r w:rsidRPr="001257D6">
              <w:rPr>
                <w:sz w:val="20"/>
                <w:szCs w:val="20"/>
                <w:lang w:val="en-GB"/>
              </w:rPr>
              <w:t xml:space="preserve">. Boston, MA: McGraw-Hill. </w:t>
            </w:r>
          </w:p>
          <w:p w14:paraId="2F9D9B13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sz w:val="20"/>
                <w:szCs w:val="20"/>
                <w:lang w:val="en-GB"/>
              </w:rPr>
              <w:t>Pycraft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M., Singh, H., </w:t>
            </w:r>
            <w:proofErr w:type="spellStart"/>
            <w:r w:rsidRPr="001257D6">
              <w:rPr>
                <w:sz w:val="20"/>
                <w:szCs w:val="20"/>
                <w:lang w:val="en-GB"/>
              </w:rPr>
              <w:t>Phihlela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 xml:space="preserve">, K., Slack, N., Chambers, S &amp; Johnston, R. 2010. </w:t>
            </w:r>
            <w:r w:rsidRPr="001257D6">
              <w:rPr>
                <w:i/>
                <w:sz w:val="20"/>
                <w:szCs w:val="20"/>
                <w:lang w:val="en-GB"/>
              </w:rPr>
              <w:t>Operations management</w:t>
            </w:r>
            <w:r w:rsidRPr="001257D6">
              <w:rPr>
                <w:sz w:val="20"/>
                <w:szCs w:val="20"/>
                <w:lang w:val="en-GB"/>
              </w:rPr>
              <w:t>. 2nd edition. Cape Town: Pearson Education.</w:t>
            </w:r>
          </w:p>
          <w:p w14:paraId="4C52EBA3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 xml:space="preserve">Stevenson, W.J. 2009. </w:t>
            </w:r>
            <w:r w:rsidRPr="001257D6">
              <w:rPr>
                <w:i/>
                <w:sz w:val="20"/>
                <w:szCs w:val="20"/>
                <w:lang w:val="en-GB"/>
              </w:rPr>
              <w:t>Operations management</w:t>
            </w:r>
            <w:r w:rsidRPr="001257D6">
              <w:rPr>
                <w:sz w:val="20"/>
                <w:szCs w:val="20"/>
                <w:lang w:val="en-GB"/>
              </w:rPr>
              <w:t>. 10th edition. McGraw-Hill Irwin.</w:t>
            </w:r>
          </w:p>
          <w:p w14:paraId="2426ADD9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Ambe, I. M. (2014). Key Indicators For Optimising Supply Chain Performance: The Case Of Light Vehicle Manufacturers In South Africa. Journal of Applied Business Research (JABR), 30(1), 277-290.</w:t>
            </w:r>
          </w:p>
          <w:p w14:paraId="7AE82B4E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Ambe, I. M. (2014b). Difficulty to Overcome Supply Chain Challenges Faced By Vehicle Manufacturers In South Africa.  Journal of Applied Business Research (JABR), 30(5), 1539 - 1550.</w:t>
            </w:r>
          </w:p>
          <w:p w14:paraId="37D2487F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de-DE"/>
              </w:rPr>
              <w:t xml:space="preserve">Eggert, A., Ulaga, W., &amp; Schultz, F. (2006). </w:t>
            </w:r>
            <w:r w:rsidRPr="001257D6">
              <w:rPr>
                <w:sz w:val="20"/>
                <w:szCs w:val="20"/>
                <w:lang w:val="en-GB"/>
              </w:rPr>
              <w:t>‘Value creation in the relationship life cycle: a quasi-longitudinal analysis’, Industrial Marketing Management, 35(2006): 20-27.</w:t>
            </w:r>
          </w:p>
          <w:p w14:paraId="1933FF0A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Lamprecht, N., Rudansky-Kloppers, S. and Strydom, J.W., 2011. South African automotive policy intervention (1924-2008): the case of an intelligently designed automotive support structure. Journal of Contemporary Management, 8, pp.54-75.</w:t>
            </w:r>
          </w:p>
          <w:p w14:paraId="7ACBE05F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it-IT"/>
              </w:rPr>
              <w:t xml:space="preserve">Li, L., Ford, J. B., Zhai, X., &amp; Xu, L. (2012). </w:t>
            </w:r>
            <w:r w:rsidRPr="001257D6">
              <w:rPr>
                <w:sz w:val="20"/>
                <w:szCs w:val="20"/>
                <w:lang w:val="en-GB"/>
              </w:rPr>
              <w:t>Relational benefits and manufacturer satisfaction: an empirical study of logistics service in supply chain. International Journal of Production Research, 50(19), 5445-5459.</w:t>
            </w:r>
          </w:p>
          <w:p w14:paraId="7A6B901F" w14:textId="77777777" w:rsidR="00316E30" w:rsidRPr="001257D6" w:rsidRDefault="00316E30" w:rsidP="00394D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Morgan, R. M., &amp; Hunt, S.D. (1994). The commitment – trust theory of relationship marketing, Journal of Marketing, 58(3), 20-38.</w:t>
            </w:r>
          </w:p>
          <w:p w14:paraId="0B84FFF5" w14:textId="77777777" w:rsidR="00316E30" w:rsidRDefault="00316E30" w:rsidP="00394D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1257D6">
              <w:rPr>
                <w:sz w:val="20"/>
                <w:szCs w:val="20"/>
                <w:lang w:val="en-GB"/>
              </w:rPr>
              <w:t>Ulaga</w:t>
            </w:r>
            <w:proofErr w:type="spellEnd"/>
            <w:r w:rsidRPr="001257D6">
              <w:rPr>
                <w:sz w:val="20"/>
                <w:szCs w:val="20"/>
                <w:lang w:val="en-GB"/>
              </w:rPr>
              <w:t>, W. &amp; Eggert, A. (2004). Relationship value and relationship quality, European Journal of Marketing, 40(3/4): 311-327.</w:t>
            </w:r>
          </w:p>
          <w:p w14:paraId="085C15E0" w14:textId="77777777" w:rsidR="001257D6" w:rsidRPr="001257D6" w:rsidRDefault="001257D6" w:rsidP="001257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Tolmay, A.S. and Badenhorst-Weiss, J.A., 2015. Supply chain relationships between first and second tier suppliers in South African automotive supply chains: A focus on trust. Journal of Transport and Supply Chain Management, 9(1), pp.8-pages.</w:t>
            </w:r>
          </w:p>
          <w:p w14:paraId="4FBFEADF" w14:textId="77777777" w:rsidR="001257D6" w:rsidRPr="001257D6" w:rsidRDefault="001257D6" w:rsidP="001257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Badenhorst-Weiss, J.A. and Tolmay, A.S., 2016. Relationship Value, Trust And Supplier Retention In South African Automotive Supply Chains. Journal of Applied Business Research (JABR), 32(5), pp.1329-1340.</w:t>
            </w:r>
          </w:p>
          <w:p w14:paraId="10A24535" w14:textId="77777777" w:rsidR="001257D6" w:rsidRPr="001257D6" w:rsidRDefault="001257D6" w:rsidP="001257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Tolmay, A.S., 2017. The correlation between relationship value and business expansion in the South African automotive supply chains. Journal of Transport and Supply Chain Management, 11, pp.8-pages.</w:t>
            </w:r>
          </w:p>
          <w:p w14:paraId="3C45ADB6" w14:textId="77777777" w:rsidR="001257D6" w:rsidRPr="001257D6" w:rsidRDefault="001257D6" w:rsidP="001257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lastRenderedPageBreak/>
              <w:t>Lamprecht, N. and Tolmay, A.S., 2017. Performance Of South African Automotive Exports Under The African Growth And Opportunity Act From 2001 To 2015. International Business &amp; Economics Research Journal (IBER), 16(2), pp.131-142.</w:t>
            </w:r>
          </w:p>
          <w:p w14:paraId="58260671" w14:textId="77777777" w:rsidR="001257D6" w:rsidRPr="001257D6" w:rsidRDefault="001257D6" w:rsidP="001257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Tolmay, A.S. and Venter, P., 2017. Relationship value antecedents in the South African automotive component supply chain. Acta Commercii, 17(1), pp.8-pages.</w:t>
            </w:r>
          </w:p>
          <w:p w14:paraId="45D20966" w14:textId="77777777" w:rsidR="001257D6" w:rsidRPr="001257D6" w:rsidRDefault="001257D6" w:rsidP="001257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Tolmay, A.S., and Badenhorst-Weiss, J.A., 2018.  The dynamics in customer-supplier relationships in South African automotive supply chains. International journal of value chain management. 11(3), pp1–17.</w:t>
            </w:r>
          </w:p>
          <w:p w14:paraId="25BF5A8F" w14:textId="77777777" w:rsidR="001257D6" w:rsidRPr="001257D6" w:rsidRDefault="001257D6" w:rsidP="001257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1257D6">
              <w:rPr>
                <w:sz w:val="20"/>
                <w:szCs w:val="20"/>
                <w:lang w:val="en-GB"/>
              </w:rPr>
              <w:t>Tolmay, A.S., 2018. An Investigation Into the Personal Interaction Items Which Best Explain the Variation in Trust Within Automotive Supply Chains. International Journal of Information Systems and Supply Chain Management (IJISSCM), 11(2), pp.77-91.</w:t>
            </w:r>
          </w:p>
        </w:tc>
      </w:tr>
      <w:tr w:rsidR="00316E30" w:rsidRPr="005847C6" w14:paraId="0B8AECEF" w14:textId="77777777" w:rsidTr="001257D6">
        <w:trPr>
          <w:trHeight w:val="276"/>
        </w:trPr>
        <w:tc>
          <w:tcPr>
            <w:tcW w:w="9242" w:type="dxa"/>
            <w:gridSpan w:val="3"/>
          </w:tcPr>
          <w:p w14:paraId="18B69024" w14:textId="77777777" w:rsidR="00316E30" w:rsidRPr="005847C6" w:rsidRDefault="00316E30" w:rsidP="00394D22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5847C6">
              <w:rPr>
                <w:b/>
                <w:sz w:val="20"/>
                <w:szCs w:val="20"/>
                <w:lang w:val="en-GB"/>
              </w:rPr>
              <w:lastRenderedPageBreak/>
              <w:t xml:space="preserve">Potential M&amp;D </w:t>
            </w:r>
            <w:r w:rsidRPr="00AF35A7">
              <w:rPr>
                <w:b/>
                <w:sz w:val="20"/>
                <w:szCs w:val="20"/>
                <w:lang w:val="en-GB"/>
              </w:rPr>
              <w:t>R</w:t>
            </w:r>
            <w:r w:rsidRPr="005847C6">
              <w:rPr>
                <w:b/>
                <w:sz w:val="20"/>
                <w:szCs w:val="20"/>
                <w:lang w:val="en-GB"/>
              </w:rPr>
              <w:t xml:space="preserve">esearch </w:t>
            </w:r>
            <w:r w:rsidRPr="00AF35A7">
              <w:rPr>
                <w:b/>
                <w:sz w:val="20"/>
                <w:szCs w:val="20"/>
                <w:lang w:val="en-GB"/>
              </w:rPr>
              <w:t>F</w:t>
            </w:r>
            <w:r w:rsidRPr="005847C6">
              <w:rPr>
                <w:b/>
                <w:sz w:val="20"/>
                <w:szCs w:val="20"/>
                <w:lang w:val="en-GB"/>
              </w:rPr>
              <w:t xml:space="preserve">ocus </w:t>
            </w:r>
            <w:r w:rsidRPr="00AF35A7">
              <w:rPr>
                <w:b/>
                <w:sz w:val="20"/>
                <w:szCs w:val="20"/>
                <w:lang w:val="en-GB"/>
              </w:rPr>
              <w:t>A</w:t>
            </w:r>
            <w:r w:rsidRPr="005847C6">
              <w:rPr>
                <w:b/>
                <w:sz w:val="20"/>
                <w:szCs w:val="20"/>
                <w:lang w:val="en-GB"/>
              </w:rPr>
              <w:t xml:space="preserve">reas or </w:t>
            </w:r>
            <w:r w:rsidRPr="00AF35A7">
              <w:rPr>
                <w:b/>
                <w:sz w:val="20"/>
                <w:szCs w:val="20"/>
                <w:lang w:val="en-GB"/>
              </w:rPr>
              <w:t>R</w:t>
            </w:r>
            <w:r w:rsidRPr="005847C6">
              <w:rPr>
                <w:b/>
                <w:sz w:val="20"/>
                <w:szCs w:val="20"/>
                <w:lang w:val="en-GB"/>
              </w:rPr>
              <w:t xml:space="preserve">esearch </w:t>
            </w:r>
            <w:r w:rsidRPr="00AF35A7">
              <w:rPr>
                <w:b/>
                <w:sz w:val="20"/>
                <w:szCs w:val="20"/>
                <w:lang w:val="en-GB"/>
              </w:rPr>
              <w:t>P</w:t>
            </w:r>
            <w:r w:rsidRPr="005847C6">
              <w:rPr>
                <w:b/>
                <w:sz w:val="20"/>
                <w:szCs w:val="20"/>
                <w:lang w:val="en-GB"/>
              </w:rPr>
              <w:t>rojects</w:t>
            </w:r>
          </w:p>
          <w:p w14:paraId="2EC466FB" w14:textId="77777777" w:rsidR="00316E30" w:rsidRPr="00AF35A7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3FAF83F9" w14:textId="77777777" w:rsidR="00316E30" w:rsidRDefault="00316E30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5847C6">
              <w:rPr>
                <w:sz w:val="20"/>
                <w:szCs w:val="20"/>
                <w:lang w:val="en-GB"/>
              </w:rPr>
              <w:t>Operations strategies for improvement</w:t>
            </w:r>
          </w:p>
          <w:p w14:paraId="4B66CAA9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Relationship value</w:t>
            </w:r>
          </w:p>
          <w:p w14:paraId="4179A21E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Supplier relationships</w:t>
            </w:r>
          </w:p>
          <w:p w14:paraId="724D21E0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Supply chain development</w:t>
            </w:r>
          </w:p>
          <w:p w14:paraId="14198B6F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Agent Principal theory</w:t>
            </w:r>
          </w:p>
          <w:p w14:paraId="3306DAF2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Automotive supply chains</w:t>
            </w:r>
          </w:p>
          <w:p w14:paraId="290A438B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Automotive trade regions</w:t>
            </w:r>
          </w:p>
          <w:p w14:paraId="09CDE5DE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Automotive global exports/imports</w:t>
            </w:r>
          </w:p>
          <w:p w14:paraId="3AF83C3B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Green ICT</w:t>
            </w:r>
          </w:p>
          <w:p w14:paraId="602B8151" w14:textId="77777777" w:rsidR="001257D6" w:rsidRDefault="001257D6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FMCG</w:t>
            </w:r>
          </w:p>
          <w:p w14:paraId="000CF11F" w14:textId="77777777" w:rsidR="001E497C" w:rsidRPr="005847C6" w:rsidRDefault="001E497C" w:rsidP="00394D2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Contemporary operations management issues</w:t>
            </w:r>
          </w:p>
        </w:tc>
      </w:tr>
    </w:tbl>
    <w:p w14:paraId="6BB048EA" w14:textId="77777777" w:rsidR="00AC189E" w:rsidRDefault="00AC189E"/>
    <w:sectPr w:rsidR="00AC189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C98E" w14:textId="77777777" w:rsidR="00D75D44" w:rsidRDefault="00D75D44" w:rsidP="00C16ACD">
      <w:pPr>
        <w:spacing w:after="0" w:line="240" w:lineRule="auto"/>
      </w:pPr>
      <w:r>
        <w:separator/>
      </w:r>
    </w:p>
  </w:endnote>
  <w:endnote w:type="continuationSeparator" w:id="0">
    <w:p w14:paraId="7BB2B1CA" w14:textId="77777777" w:rsidR="00D75D44" w:rsidRDefault="00D75D44" w:rsidP="00C1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B7639" w14:textId="77777777" w:rsidR="00D75D44" w:rsidRDefault="00D75D44" w:rsidP="00C16ACD">
      <w:pPr>
        <w:spacing w:after="0" w:line="240" w:lineRule="auto"/>
      </w:pPr>
      <w:r>
        <w:separator/>
      </w:r>
    </w:p>
  </w:footnote>
  <w:footnote w:type="continuationSeparator" w:id="0">
    <w:p w14:paraId="1F0E05C2" w14:textId="77777777" w:rsidR="00D75D44" w:rsidRDefault="00D75D44" w:rsidP="00C16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6460D" w14:textId="6F8F26FA" w:rsidR="00D13ADC" w:rsidRPr="00D13ADC" w:rsidRDefault="00D13ADC">
    <w:pPr>
      <w:pStyle w:val="Header"/>
      <w:rPr>
        <w:b/>
        <w:bCs/>
      </w:rPr>
    </w:pPr>
    <w:r>
      <w:rPr>
        <w:b/>
        <w:bCs/>
      </w:rPr>
      <w:tab/>
    </w:r>
    <w:r>
      <w:rPr>
        <w:b/>
        <w:bCs/>
      </w:rPr>
      <w:tab/>
    </w:r>
    <w:r w:rsidRPr="00D13ADC">
      <w:rPr>
        <w:b/>
        <w:bCs/>
      </w:rPr>
      <w:t>CEMS Research Focus Area 2024</w:t>
    </w:r>
  </w:p>
  <w:p w14:paraId="7422C463" w14:textId="32B94264" w:rsidR="00C16ACD" w:rsidRPr="00D13ADC" w:rsidRDefault="00C16ACD" w:rsidP="00D13A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39F5"/>
    <w:multiLevelType w:val="hybridMultilevel"/>
    <w:tmpl w:val="41409C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3601C"/>
    <w:multiLevelType w:val="hybridMultilevel"/>
    <w:tmpl w:val="89E8EAFA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64E874F8"/>
    <w:multiLevelType w:val="hybridMultilevel"/>
    <w:tmpl w:val="4C9C563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1525268">
    <w:abstractNumId w:val="2"/>
  </w:num>
  <w:num w:numId="2" w16cid:durableId="608707967">
    <w:abstractNumId w:val="0"/>
  </w:num>
  <w:num w:numId="3" w16cid:durableId="821583756">
    <w:abstractNumId w:val="3"/>
  </w:num>
  <w:num w:numId="4" w16cid:durableId="979455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E30"/>
    <w:rsid w:val="00106C3F"/>
    <w:rsid w:val="001257D6"/>
    <w:rsid w:val="001441EC"/>
    <w:rsid w:val="001B1073"/>
    <w:rsid w:val="001E497C"/>
    <w:rsid w:val="00316E30"/>
    <w:rsid w:val="004D6261"/>
    <w:rsid w:val="00594815"/>
    <w:rsid w:val="006E29E1"/>
    <w:rsid w:val="00AC189E"/>
    <w:rsid w:val="00C16ACD"/>
    <w:rsid w:val="00D13ADC"/>
    <w:rsid w:val="00D7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1797DB"/>
  <w15:chartTrackingRefBased/>
  <w15:docId w15:val="{A2D400A1-6AA4-4F14-A983-75C638B6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E30"/>
    <w:pPr>
      <w:spacing w:after="200" w:line="276" w:lineRule="auto"/>
    </w:pPr>
    <w:rPr>
      <w:rFonts w:ascii="Calibri" w:eastAsia="Calibri" w:hAnsi="Calibri" w:cs="Arial"/>
      <w:lang w:val="en-ZA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E30"/>
    <w:pPr>
      <w:ind w:left="720"/>
      <w:contextualSpacing/>
    </w:pPr>
  </w:style>
  <w:style w:type="character" w:styleId="Hyperlink">
    <w:name w:val="Hyperlink"/>
    <w:uiPriority w:val="99"/>
    <w:unhideWhenUsed/>
    <w:rsid w:val="00316E3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6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ACD"/>
    <w:rPr>
      <w:rFonts w:ascii="Calibri" w:eastAsia="Calibri" w:hAnsi="Calibri" w:cs="Arial"/>
      <w:lang w:val="en-ZA" w:bidi="he-IL"/>
    </w:rPr>
  </w:style>
  <w:style w:type="paragraph" w:styleId="Footer">
    <w:name w:val="footer"/>
    <w:basedOn w:val="Normal"/>
    <w:link w:val="FooterChar"/>
    <w:uiPriority w:val="99"/>
    <w:unhideWhenUsed/>
    <w:rsid w:val="00C16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ACD"/>
    <w:rPr>
      <w:rFonts w:ascii="Calibri" w:eastAsia="Calibri" w:hAnsi="Calibri" w:cs="Arial"/>
      <w:lang w:val="en-Z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tolmaas@unisa.ac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Tolmay, Alet</dc:creator>
  <cp:keywords/>
  <dc:description/>
  <cp:lastModifiedBy>Amusako</cp:lastModifiedBy>
  <cp:revision>3</cp:revision>
  <dcterms:created xsi:type="dcterms:W3CDTF">2023-04-17T06:49:00Z</dcterms:created>
  <dcterms:modified xsi:type="dcterms:W3CDTF">2023-04-22T09:45:00Z</dcterms:modified>
</cp:coreProperties>
</file>