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29EC" w14:textId="77777777" w:rsidR="00C90E86" w:rsidRPr="00C90E86" w:rsidRDefault="00C90E86" w:rsidP="00C90E86">
      <w:pPr>
        <w:rPr>
          <w:rFonts w:ascii="Arial" w:hAnsi="Arial"/>
          <w:b/>
          <w:bCs/>
        </w:rPr>
      </w:pPr>
    </w:p>
    <w:tbl>
      <w:tblPr>
        <w:tblW w:w="93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4488"/>
        <w:gridCol w:w="2875"/>
        <w:gridCol w:w="16"/>
        <w:gridCol w:w="1956"/>
      </w:tblGrid>
      <w:tr w:rsidR="00C90E86" w:rsidRPr="0053222A" w14:paraId="2C45F114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6B2BB5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bookmarkStart w:id="0" w:name="_Hlk102128133"/>
            <w:r w:rsidRPr="0053222A">
              <w:rPr>
                <w:rFonts w:ascii="Arial" w:hAnsi="Arial"/>
                <w:b/>
                <w:sz w:val="20"/>
                <w:szCs w:val="20"/>
              </w:rPr>
              <w:t>Department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78AB07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Cs/>
                <w:sz w:val="20"/>
                <w:szCs w:val="20"/>
              </w:rPr>
              <w:t xml:space="preserve">Decision Sciences </w:t>
            </w:r>
          </w:p>
        </w:tc>
      </w:tr>
      <w:tr w:rsidR="00C90E86" w:rsidRPr="0053222A" w14:paraId="71BCFF90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3E5553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Discipline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5C0872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Cs/>
                <w:sz w:val="20"/>
                <w:szCs w:val="20"/>
              </w:rPr>
              <w:t>Operations Research and/or Quantitative Management</w:t>
            </w:r>
          </w:p>
        </w:tc>
      </w:tr>
      <w:tr w:rsidR="00C90E86" w:rsidRPr="0053222A" w14:paraId="6A450ECB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A524C8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Research Focus Area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80F508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Cs/>
                <w:sz w:val="20"/>
                <w:szCs w:val="20"/>
              </w:rPr>
              <w:t>Financial Modelling</w:t>
            </w:r>
          </w:p>
        </w:tc>
      </w:tr>
      <w:tr w:rsidR="00C90E86" w:rsidRPr="0053222A" w14:paraId="52DD1B3E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55683F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Total Capacity for 202</w:t>
            </w:r>
            <w:r w:rsidR="00B34CAE"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8D254F" w14:textId="77777777" w:rsidR="00C90E86" w:rsidRPr="008C1B81" w:rsidRDefault="00B34CAE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color w:val="auto"/>
                <w:sz w:val="20"/>
                <w:szCs w:val="20"/>
              </w:rPr>
              <w:t>24</w:t>
            </w:r>
            <w:r w:rsidR="00C90E86" w:rsidRPr="008C1B81">
              <w:rPr>
                <w:rFonts w:ascii="Arial" w:hAnsi="Arial"/>
                <w:bCs/>
                <w:color w:val="auto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bCs/>
                <w:color w:val="auto"/>
                <w:sz w:val="20"/>
                <w:szCs w:val="20"/>
              </w:rPr>
              <w:t>14</w:t>
            </w:r>
            <w:r w:rsidR="00C90E86" w:rsidRPr="008C1B81">
              <w:rPr>
                <w:rFonts w:ascii="Arial" w:hAnsi="Arial"/>
                <w:bCs/>
                <w:color w:val="auto"/>
                <w:sz w:val="20"/>
                <w:szCs w:val="20"/>
              </w:rPr>
              <w:t xml:space="preserve"> Masters and </w:t>
            </w:r>
            <w:r>
              <w:rPr>
                <w:rFonts w:ascii="Arial" w:hAnsi="Arial"/>
                <w:bCs/>
                <w:color w:val="auto"/>
                <w:sz w:val="20"/>
                <w:szCs w:val="20"/>
              </w:rPr>
              <w:t>10</w:t>
            </w:r>
            <w:r w:rsidR="00C90E86" w:rsidRPr="008C1B81">
              <w:rPr>
                <w:rFonts w:ascii="Arial" w:hAnsi="Arial"/>
                <w:bCs/>
                <w:color w:val="auto"/>
                <w:sz w:val="20"/>
                <w:szCs w:val="20"/>
              </w:rPr>
              <w:t xml:space="preserve"> PhDs)</w:t>
            </w:r>
          </w:p>
        </w:tc>
      </w:tr>
      <w:bookmarkEnd w:id="0"/>
      <w:tr w:rsidR="00C90E86" w:rsidRPr="0053222A" w14:paraId="3E666243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6B07AC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120569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C90E86" w:rsidRPr="0053222A" w14:paraId="214E85EE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78D48B5D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Supervision Team</w:t>
            </w:r>
          </w:p>
        </w:tc>
        <w:tc>
          <w:tcPr>
            <w:tcW w:w="28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CF365A0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708E61E5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Capacity</w:t>
            </w:r>
          </w:p>
        </w:tc>
      </w:tr>
      <w:tr w:rsidR="00C90E86" w:rsidRPr="0053222A" w14:paraId="04EEED46" w14:textId="77777777" w:rsidTr="008D5625">
        <w:tc>
          <w:tcPr>
            <w:tcW w:w="93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4B920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Under normal circumstances and at the time of writing the following staff members are available and have the expertise to supervise topics in this focus area.</w:t>
            </w:r>
          </w:p>
        </w:tc>
      </w:tr>
      <w:tr w:rsidR="00B34CAE" w:rsidRPr="0053222A" w14:paraId="6896BF89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115871" w14:textId="77777777" w:rsidR="00B34CAE" w:rsidRPr="0053222A" w:rsidRDefault="00B34CAE" w:rsidP="00B34CAE">
            <w:pPr>
              <w:keepNext/>
              <w:keepLines/>
              <w:spacing w:line="240" w:lineRule="auto"/>
              <w:outlineLvl w:val="2"/>
              <w:rPr>
                <w:rFonts w:ascii="Arial" w:eastAsia="Times New Roman" w:hAnsi="Arial"/>
                <w:bCs/>
                <w:sz w:val="20"/>
                <w:szCs w:val="20"/>
                <w:lang w:val="en-US" w:bidi="ar-SA"/>
              </w:rPr>
            </w:pPr>
            <w:bookmarkStart w:id="1" w:name="professor-petrus-h-potgieter"/>
            <w:r w:rsidRPr="0053222A">
              <w:rPr>
                <w:rFonts w:ascii="Arial" w:eastAsia="Times New Roman" w:hAnsi="Arial"/>
                <w:bCs/>
                <w:sz w:val="20"/>
                <w:szCs w:val="20"/>
                <w:lang w:val="en-US" w:bidi="ar-SA"/>
              </w:rPr>
              <w:t>Prof HP Mashele</w:t>
            </w:r>
          </w:p>
          <w:p w14:paraId="7D7AC1D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Style w:val="FootnoteAnchor"/>
                <w:rFonts w:ascii="Arial" w:hAnsi="Arial"/>
                <w:sz w:val="20"/>
                <w:szCs w:val="20"/>
              </w:rPr>
              <w:footnoteReference w:id="1"/>
            </w:r>
            <w:r w:rsidRPr="0053222A">
              <w:rPr>
                <w:rFonts w:ascii="Arial" w:hAnsi="Arial"/>
                <w:b/>
                <w:sz w:val="20"/>
                <w:szCs w:val="20"/>
              </w:rPr>
              <w:t>(Contact person for this focus area)</w:t>
            </w:r>
          </w:p>
          <w:p w14:paraId="696C1AD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bCs/>
                <w:sz w:val="20"/>
                <w:szCs w:val="20"/>
                <w:lang w:val="de-DE"/>
              </w:rPr>
              <w:t xml:space="preserve">Email: </w:t>
            </w:r>
            <w:r>
              <w:fldChar w:fldCharType="begin"/>
            </w:r>
            <w:r>
              <w:instrText xml:space="preserve"> HYPERLINK "mailto:mashehp@unisa.ac.za" </w:instrText>
            </w:r>
            <w:r>
              <w:fldChar w:fldCharType="separate"/>
            </w:r>
            <w:r w:rsidRPr="0053222A">
              <w:rPr>
                <w:rFonts w:ascii="Arial" w:eastAsia="Calibri" w:hAnsi="Arial"/>
                <w:bCs/>
                <w:color w:val="0000FF"/>
                <w:sz w:val="20"/>
                <w:szCs w:val="20"/>
                <w:u w:val="single"/>
                <w:lang w:val="de-DE"/>
              </w:rPr>
              <w:t>mashehp@unisa.ac.za</w:t>
            </w:r>
            <w:r>
              <w:rPr>
                <w:rFonts w:ascii="Arial" w:eastAsia="Calibri" w:hAnsi="Arial"/>
                <w:bCs/>
                <w:color w:val="0000FF"/>
                <w:sz w:val="20"/>
                <w:szCs w:val="20"/>
                <w:u w:val="single"/>
                <w:lang w:val="de-DE"/>
              </w:rPr>
              <w:fldChar w:fldCharType="end"/>
            </w:r>
          </w:p>
          <w:p w14:paraId="734DB48A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bookmarkEnd w:id="1"/>
          <w:p w14:paraId="0714129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18DEA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Highest qualification</w:t>
            </w:r>
            <w:r w:rsidRPr="0053222A">
              <w:rPr>
                <w:rFonts w:ascii="Arial" w:hAnsi="Arial"/>
                <w:sz w:val="20"/>
                <w:szCs w:val="20"/>
              </w:rPr>
              <w:t>: PhD in Mathematics (Wits).</w:t>
            </w:r>
          </w:p>
          <w:p w14:paraId="5D236DCF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Computational Mathematics; Financial Risk Analysis; Financial Engineering.</w:t>
            </w:r>
          </w:p>
          <w:p w14:paraId="33388BA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NRF-rated researcher (C2).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53076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3</w:t>
            </w:r>
          </w:p>
          <w:p w14:paraId="5B508E14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2</w:t>
            </w:r>
          </w:p>
          <w:p w14:paraId="3C6778E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Post-doctoral fellows: Up to 1</w:t>
            </w:r>
          </w:p>
        </w:tc>
      </w:tr>
      <w:tr w:rsidR="00B34CAE" w:rsidRPr="0053222A" w14:paraId="2E2B789C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3EE7BF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r w:rsidRPr="0053222A">
              <w:rPr>
                <w:rFonts w:ascii="Arial" w:hAnsi="Arial" w:cs="Arial"/>
                <w:b w:val="0"/>
                <w:color w:val="00000A"/>
                <w:sz w:val="20"/>
                <w:szCs w:val="20"/>
              </w:rPr>
              <w:t>Professor Petrus H Potgieter</w:t>
            </w:r>
          </w:p>
          <w:p w14:paraId="5A4D89B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8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Potgiph@unisa.ac.za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6BA81627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66C19E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Highest qualification</w:t>
            </w:r>
            <w:r w:rsidRPr="0053222A">
              <w:rPr>
                <w:rFonts w:ascii="Arial" w:hAnsi="Arial"/>
                <w:sz w:val="20"/>
                <w:szCs w:val="20"/>
              </w:rPr>
              <w:t>: PhD in Mathematics (</w:t>
            </w:r>
            <w:r w:rsidRPr="0053222A">
              <w:rPr>
                <w:rFonts w:ascii="Arial" w:hAnsi="Arial"/>
                <w:color w:val="auto"/>
                <w:sz w:val="20"/>
                <w:szCs w:val="20"/>
              </w:rPr>
              <w:t>UNISA).</w:t>
            </w:r>
          </w:p>
          <w:p w14:paraId="431E9028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Unconventional. computation</w:t>
            </w:r>
          </w:p>
          <w:p w14:paraId="068D2C7F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F0AF1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1</w:t>
            </w:r>
          </w:p>
          <w:p w14:paraId="5C792273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1</w:t>
            </w:r>
          </w:p>
        </w:tc>
      </w:tr>
      <w:tr w:rsidR="00B34CAE" w:rsidRPr="0053222A" w14:paraId="5592B22F" w14:textId="77777777" w:rsidTr="008D5625">
        <w:trPr>
          <w:trHeight w:val="628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BEC28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Prof Kerstin H Jordaan</w:t>
            </w:r>
          </w:p>
          <w:p w14:paraId="353A78CF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9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jordakh@unisa.ac.za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39720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>PhD</w:t>
            </w: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in Mathematics (Wits). </w:t>
            </w:r>
          </w:p>
          <w:p w14:paraId="79D7F4F7" w14:textId="77777777" w:rsidR="00B34CAE" w:rsidRPr="0053222A" w:rsidRDefault="00B34CAE" w:rsidP="00B34CAE">
            <w:pPr>
              <w:spacing w:after="0" w:line="240" w:lineRule="auto"/>
              <w:rPr>
                <w:rFonts w:ascii="Arial" w:eastAsia="Times New Roman" w:hAnsi="Arial"/>
                <w:color w:val="333333"/>
                <w:sz w:val="20"/>
                <w:szCs w:val="20"/>
                <w:lang w:val="en-US" w:bidi="ar-SA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  <w:r w:rsidRPr="0053222A">
              <w:rPr>
                <w:rFonts w:ascii="Arial" w:eastAsia="Times New Roman" w:hAnsi="Arial"/>
                <w:color w:val="333333"/>
                <w:sz w:val="20"/>
                <w:szCs w:val="20"/>
                <w:lang w:val="en-US" w:bidi="ar-SA"/>
              </w:rPr>
              <w:t>Financial Mathematics, Mathematical Analysis, Approximation Theory.</w:t>
            </w:r>
          </w:p>
          <w:p w14:paraId="6CDDAF0C" w14:textId="77777777" w:rsidR="00B34CAE" w:rsidRPr="0053222A" w:rsidRDefault="00B34CAE" w:rsidP="00B34CAE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  <w:lang w:val="en-US" w:bidi="ar-SA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NRF-rated researcher (B3).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91615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1</w:t>
            </w:r>
          </w:p>
          <w:p w14:paraId="5750E5F4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1</w:t>
            </w:r>
          </w:p>
        </w:tc>
      </w:tr>
      <w:tr w:rsidR="00B34CAE" w:rsidRPr="0053222A" w14:paraId="64FF8F32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CA882B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bookmarkStart w:id="2" w:name="professor-mp-mulaudzi"/>
            <w:bookmarkEnd w:id="2"/>
            <w:r w:rsidRPr="0053222A">
              <w:rPr>
                <w:rFonts w:ascii="Arial" w:hAnsi="Arial" w:cs="Arial"/>
                <w:b w:val="0"/>
                <w:color w:val="00000A"/>
                <w:sz w:val="20"/>
                <w:szCs w:val="20"/>
              </w:rPr>
              <w:t>Professor MP Mulaudzi</w:t>
            </w:r>
          </w:p>
          <w:p w14:paraId="2FD6C452" w14:textId="77777777" w:rsidR="00B34CAE" w:rsidRPr="0053222A" w:rsidRDefault="00B34CAE" w:rsidP="00B34CAE">
            <w:pPr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10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Mulaump@unisa.ac.za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364A7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PhD in Applied Mathematics (NWU). </w:t>
            </w:r>
          </w:p>
          <w:p w14:paraId="06D2A3E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Stochastic Control and Optimisation in Banking and Finance, </w:t>
            </w:r>
            <w:r>
              <w:rPr>
                <w:rFonts w:ascii="Arial" w:hAnsi="Arial"/>
                <w:sz w:val="20"/>
                <w:szCs w:val="20"/>
              </w:rPr>
              <w:t>Sustainable Finance, Reinforcement Learning in Mathematical Finance, Stochastic Processes</w:t>
            </w:r>
            <w:r w:rsidRPr="0053222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E76A8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4</w:t>
            </w:r>
          </w:p>
          <w:p w14:paraId="1DEE960F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1</w:t>
            </w:r>
          </w:p>
        </w:tc>
      </w:tr>
      <w:tr w:rsidR="00B34CAE" w:rsidRPr="0053222A" w14:paraId="61F867CC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255186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bookmarkStart w:id="3" w:name="professor-safari-mukeru"/>
            <w:bookmarkEnd w:id="3"/>
            <w:r w:rsidRPr="0053222A">
              <w:rPr>
                <w:rFonts w:ascii="Arial" w:hAnsi="Arial" w:cs="Arial"/>
                <w:b w:val="0"/>
                <w:color w:val="00000A"/>
                <w:sz w:val="20"/>
                <w:szCs w:val="20"/>
              </w:rPr>
              <w:t>Professor Safari Mukeru</w:t>
            </w:r>
          </w:p>
          <w:p w14:paraId="21B54BC9" w14:textId="77777777" w:rsidR="00B34CAE" w:rsidRPr="0053222A" w:rsidRDefault="00B34CAE" w:rsidP="00B34CAE">
            <w:pPr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11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Mukers@unisa.ac.za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292A26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>PhD in Operations Research (Unisa).</w:t>
            </w:r>
          </w:p>
          <w:p w14:paraId="1D42BC43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Stochastic Processes and applications in Finance.</w:t>
            </w:r>
          </w:p>
          <w:p w14:paraId="243D229E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NRF-rated researcher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(C3).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65DDCA" w14:textId="77777777" w:rsidR="00B34CAE" w:rsidRPr="0053222A" w:rsidRDefault="00B34CAE" w:rsidP="00B34CAE">
            <w:pPr>
              <w:spacing w:after="0" w:line="240" w:lineRule="auto"/>
              <w:rPr>
                <w:rFonts w:ascii="Arial" w:eastAsia="Calibri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>Master’s: Up to 3</w:t>
            </w:r>
          </w:p>
          <w:p w14:paraId="56FA78C8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>Doctorates: Up to 3</w:t>
            </w:r>
          </w:p>
        </w:tc>
      </w:tr>
      <w:tr w:rsidR="00B34CAE" w:rsidRPr="0053222A" w14:paraId="2F681CA8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B2E078" w14:textId="77777777" w:rsidR="00B34CAE" w:rsidRPr="00EA3CC3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Cs w:val="0"/>
                <w:color w:val="00000A"/>
                <w:sz w:val="20"/>
                <w:szCs w:val="20"/>
              </w:rPr>
            </w:pPr>
            <w:r w:rsidRPr="00EA3CC3">
              <w:rPr>
                <w:rFonts w:ascii="Arial" w:hAnsi="Arial" w:cs="Arial"/>
                <w:bCs w:val="0"/>
                <w:color w:val="00000A"/>
                <w:sz w:val="20"/>
                <w:szCs w:val="20"/>
              </w:rPr>
              <w:t>Dr MM Mpanda</w:t>
            </w:r>
          </w:p>
          <w:p w14:paraId="165A0987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r w:rsidRPr="00B34CAE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Email:</w:t>
            </w:r>
            <w:r w:rsidRPr="00B34CA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hyperlink r:id="rId12" w:history="1">
              <w:r w:rsidRPr="00B34CAE">
                <w:rPr>
                  <w:rStyle w:val="Hyperlink"/>
                  <w:rFonts w:ascii="Arial" w:hAnsi="Arial" w:cs="Arial"/>
                  <w:b w:val="0"/>
                  <w:bCs w:val="0"/>
                  <w:sz w:val="20"/>
                  <w:szCs w:val="20"/>
                </w:rPr>
                <w:t>mpandmm@unisa.ac.za</w:t>
              </w:r>
            </w:hyperlink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2C40C9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PhD in </w:t>
            </w:r>
            <w:r>
              <w:rPr>
                <w:rFonts w:ascii="Arial" w:hAnsi="Arial"/>
                <w:sz w:val="20"/>
                <w:szCs w:val="20"/>
              </w:rPr>
              <w:t>Operations Research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UNISA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). </w:t>
            </w:r>
          </w:p>
          <w:p w14:paraId="17BE101A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717C67F2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Stochastic </w:t>
            </w:r>
            <w:r>
              <w:rPr>
                <w:rFonts w:ascii="Arial" w:hAnsi="Arial"/>
                <w:sz w:val="20"/>
                <w:szCs w:val="20"/>
              </w:rPr>
              <w:t>volatility modelling,</w:t>
            </w:r>
          </w:p>
          <w:p w14:paraId="4CAC9916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Robust portfolio optimisation and </w:t>
            </w:r>
          </w:p>
          <w:p w14:paraId="1479C9AC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Financial Machine Learning</w:t>
            </w:r>
          </w:p>
          <w:p w14:paraId="1F3A757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B86577" w14:textId="77777777" w:rsidR="00B34CAE" w:rsidRPr="0053222A" w:rsidRDefault="00B34CAE" w:rsidP="00B34CAE">
            <w:pPr>
              <w:spacing w:after="0" w:line="240" w:lineRule="auto"/>
              <w:rPr>
                <w:rFonts w:ascii="Arial" w:eastAsia="Calibri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 xml:space="preserve">Master’s: Up to </w:t>
            </w:r>
            <w:r>
              <w:rPr>
                <w:rFonts w:ascii="Arial" w:eastAsia="Calibri" w:hAnsi="Arial"/>
                <w:sz w:val="20"/>
                <w:szCs w:val="20"/>
              </w:rPr>
              <w:t>2</w:t>
            </w:r>
          </w:p>
          <w:p w14:paraId="5D1951E8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 xml:space="preserve">Doctorates: Up to </w:t>
            </w:r>
            <w:r>
              <w:rPr>
                <w:rFonts w:ascii="Arial" w:eastAsia="Calibri" w:hAnsi="Arial"/>
                <w:sz w:val="20"/>
                <w:szCs w:val="20"/>
              </w:rPr>
              <w:t>1</w:t>
            </w:r>
          </w:p>
        </w:tc>
      </w:tr>
      <w:tr w:rsidR="00B34CAE" w:rsidRPr="0053222A" w14:paraId="2E33FAA8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2017A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val="de-DE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>Model of Supervision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38F5A2" w14:textId="77777777" w:rsidR="00B34CAE" w:rsidRPr="0053222A" w:rsidRDefault="00B34CAE" w:rsidP="00B34CA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</w:p>
        </w:tc>
      </w:tr>
      <w:tr w:rsidR="00B34CAE" w:rsidRPr="0053222A" w14:paraId="7BBBB7F4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23B85B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Selection Criteria: </w:t>
            </w:r>
          </w:p>
          <w:p w14:paraId="44642CD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MSc, MCom and PhD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17F26A" w14:textId="77777777" w:rsidR="00B34CAE" w:rsidRPr="0053222A" w:rsidRDefault="00B34CAE" w:rsidP="00B34CA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color w:val="1E2921"/>
                <w:sz w:val="20"/>
                <w:szCs w:val="20"/>
              </w:rPr>
              <w:t>Refer to the qualification website for selection criteria.</w:t>
            </w:r>
          </w:p>
        </w:tc>
      </w:tr>
      <w:tr w:rsidR="00B34CAE" w:rsidRPr="0053222A" w14:paraId="293882F0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8CF79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041223" w14:textId="77777777" w:rsidR="00B34CAE" w:rsidRPr="0053222A" w:rsidRDefault="00B34CAE" w:rsidP="00B34CA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color w:val="1E2921"/>
                <w:sz w:val="20"/>
                <w:szCs w:val="20"/>
              </w:rPr>
              <w:t>Refer to the qualification website for selection procedure.</w:t>
            </w:r>
          </w:p>
        </w:tc>
      </w:tr>
      <w:tr w:rsidR="00B34CAE" w:rsidRPr="0053222A" w14:paraId="168522E2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03E9D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Scope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2E768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In Decision Sciences the focus at Master's and PhD level is the application of existing advanced mathematical techniques to a new and demanding problem or the further development of such techniques, </w:t>
            </w:r>
            <w:proofErr w:type="gramStart"/>
            <w:r w:rsidRPr="0053222A">
              <w:rPr>
                <w:rFonts w:ascii="Arial" w:hAnsi="Arial"/>
                <w:sz w:val="20"/>
                <w:szCs w:val="20"/>
              </w:rPr>
              <w:t>algorithms</w:t>
            </w:r>
            <w:proofErr w:type="gramEnd"/>
            <w:r w:rsidRPr="0053222A">
              <w:rPr>
                <w:rFonts w:ascii="Arial" w:hAnsi="Arial"/>
                <w:sz w:val="20"/>
                <w:szCs w:val="20"/>
              </w:rPr>
              <w:t xml:space="preserve"> or mathematical theory relevant to the practice of Operations Research and/or Quantitative Management.</w:t>
            </w:r>
          </w:p>
        </w:tc>
      </w:tr>
      <w:tr w:rsidR="00B34CAE" w:rsidRPr="0053222A" w14:paraId="282C1F74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9800C9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Reading: </w:t>
            </w:r>
          </w:p>
          <w:p w14:paraId="3E62D9D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Subject Field</w:t>
            </w:r>
          </w:p>
          <w:p w14:paraId="714BD72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891EE1" w14:textId="77777777" w:rsidR="00B34CAE" w:rsidRPr="0053222A" w:rsidRDefault="00B34CAE" w:rsidP="00B34CAE">
            <w:pPr>
              <w:pStyle w:val="Compac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Tomas Bjork. Arbitrage Theory in Continuous Time. Oxford University Press, 2004.</w:t>
            </w:r>
          </w:p>
          <w:p w14:paraId="78724406" w14:textId="77777777" w:rsidR="00B34CAE" w:rsidRPr="0053222A" w:rsidRDefault="00B34CAE" w:rsidP="00B34CAE">
            <w:pPr>
              <w:pStyle w:val="Compac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Y.K. Kwok. Mathematical Models of Financial Derivatives. Springer. 1998.</w:t>
            </w:r>
          </w:p>
          <w:p w14:paraId="52A8936A" w14:textId="77777777" w:rsidR="00B34CAE" w:rsidRPr="0053222A" w:rsidRDefault="00B34CAE" w:rsidP="00B34CAE">
            <w:pPr>
              <w:pStyle w:val="Compac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Anything about Stochastic Differential Equations, Stochastic Control and Optimization, The Economics of Money, Banking and Financial Markets.</w:t>
            </w:r>
          </w:p>
        </w:tc>
      </w:tr>
      <w:tr w:rsidR="00B34CAE" w:rsidRPr="0053222A" w14:paraId="458A3A2C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BF65BB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Reading: </w:t>
            </w:r>
          </w:p>
          <w:p w14:paraId="2CAE807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  <w:lang w:val="fr-FR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8229CC" w14:textId="77777777" w:rsidR="00B34CAE" w:rsidRPr="0053222A" w:rsidRDefault="00B34CAE" w:rsidP="00B34CAE">
            <w:pPr>
              <w:pStyle w:val="Compact"/>
              <w:numPr>
                <w:ilvl w:val="0"/>
                <w:numId w:val="1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Departmental Honours project study material.</w:t>
            </w:r>
          </w:p>
        </w:tc>
      </w:tr>
      <w:tr w:rsidR="00B34CAE" w:rsidRPr="0053222A" w14:paraId="72C86AB4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E67343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Resources: Scholar Community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E0C3E8" w14:textId="77777777" w:rsidR="00B34CAE" w:rsidRPr="0053222A" w:rsidRDefault="00B34CAE" w:rsidP="00B34CA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N/A</w:t>
            </w:r>
          </w:p>
        </w:tc>
      </w:tr>
      <w:tr w:rsidR="00B34CAE" w:rsidRPr="0053222A" w14:paraId="1095E67D" w14:textId="77777777" w:rsidTr="008D5625">
        <w:trPr>
          <w:trHeight w:val="276"/>
        </w:trPr>
        <w:tc>
          <w:tcPr>
            <w:tcW w:w="93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DB269EA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 xml:space="preserve">Potential M&amp;D Research Focus </w:t>
            </w:r>
          </w:p>
        </w:tc>
      </w:tr>
      <w:tr w:rsidR="00B34CAE" w:rsidRPr="0053222A" w14:paraId="04CB22EA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61B810E4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Unit of Analysis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6D6CDF9B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Research Focus</w:t>
            </w:r>
          </w:p>
        </w:tc>
      </w:tr>
      <w:tr w:rsidR="00B34CAE" w:rsidRPr="0053222A" w14:paraId="1F839350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072A2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E9B88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We work on the pricing of financial products, extraction of information from derivatives pricing, modelling and optimization of the banking activities.</w:t>
            </w:r>
          </w:p>
          <w:p w14:paraId="7A598F2D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color w:val="00000A"/>
                <w:sz w:val="20"/>
                <w:szCs w:val="20"/>
              </w:rPr>
            </w:pPr>
            <w:bookmarkStart w:id="4" w:name="recent-papers"/>
            <w:bookmarkEnd w:id="4"/>
            <w:r w:rsidRPr="0053222A">
              <w:rPr>
                <w:rFonts w:ascii="Arial" w:hAnsi="Arial" w:cs="Arial"/>
                <w:color w:val="00000A"/>
                <w:sz w:val="20"/>
                <w:szCs w:val="20"/>
              </w:rPr>
              <w:t>Recent papers</w:t>
            </w:r>
          </w:p>
          <w:p w14:paraId="58D6A14A" w14:textId="77777777" w:rsidR="00B34CAE" w:rsidRPr="0053222A" w:rsidRDefault="00B34CAE" w:rsidP="00B34C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N. </w:t>
            </w:r>
            <w:proofErr w:type="spellStart"/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>Umeorah</w:t>
            </w:r>
            <w:proofErr w:type="spellEnd"/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, P. Mashele &amp; M. Ehrhardt. 2021. Pricing basket default swaps using quasi-analytic techniques, </w:t>
            </w:r>
            <w:r w:rsidRPr="0053222A">
              <w:rPr>
                <w:rFonts w:ascii="Arial" w:eastAsia="Times New Roman" w:hAnsi="Arial"/>
                <w:i/>
                <w:color w:val="auto"/>
                <w:sz w:val="20"/>
                <w:szCs w:val="20"/>
                <w:lang w:bidi="ar-SA"/>
              </w:rPr>
              <w:t xml:space="preserve">Decisions in Economics and Finance, </w:t>
            </w:r>
            <w:r w:rsidRPr="0053222A">
              <w:rPr>
                <w:rFonts w:ascii="Arial" w:eastAsia="Times New Roman" w:hAnsi="Arial"/>
                <w:bCs/>
                <w:color w:val="auto"/>
                <w:sz w:val="20"/>
                <w:szCs w:val="20"/>
                <w:lang w:bidi="ar-SA"/>
              </w:rPr>
              <w:t>44</w:t>
            </w: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, pp. 241–267. </w:t>
            </w:r>
          </w:p>
          <w:p w14:paraId="3CF67C1C" w14:textId="77777777" w:rsidR="00B34CAE" w:rsidRPr="0053222A" w:rsidRDefault="00B34CAE" w:rsidP="00B34CAE">
            <w:p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</w:p>
          <w:p w14:paraId="57040B0C" w14:textId="77777777" w:rsidR="00B34CAE" w:rsidRPr="0053222A" w:rsidRDefault="00B34CAE" w:rsidP="00B34C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M.B. Seitshiro &amp; H.P. Mashele. 2020. Valuation of initial margin using bootstrap method. </w:t>
            </w:r>
            <w:r w:rsidRPr="0053222A">
              <w:rPr>
                <w:rFonts w:ascii="Arial" w:eastAsia="Times New Roman" w:hAnsi="Arial"/>
                <w:i/>
                <w:iCs/>
                <w:color w:val="auto"/>
                <w:sz w:val="20"/>
                <w:szCs w:val="20"/>
                <w:lang w:bidi="ar-SA"/>
              </w:rPr>
              <w:t>Journal of Risk Finance</w:t>
            </w: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>, 21 (5), pp. 543-557.</w:t>
            </w:r>
          </w:p>
          <w:p w14:paraId="5128B322" w14:textId="77777777" w:rsidR="00B34CAE" w:rsidRPr="0053222A" w:rsidRDefault="00B34CAE" w:rsidP="00B34CAE">
            <w:pPr>
              <w:pStyle w:val="ListParagraph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</w:p>
          <w:p w14:paraId="216D0F26" w14:textId="77777777" w:rsidR="00B34CAE" w:rsidRPr="0053222A" w:rsidRDefault="00B34CAE" w:rsidP="00B34C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M. Seitshiro &amp; H.P. Mashele. 2020. Assessment of model risk due to the use of an inappropriate parameter estimator. </w:t>
            </w:r>
            <w:r w:rsidRPr="0053222A">
              <w:rPr>
                <w:rFonts w:ascii="Arial" w:eastAsia="Times New Roman" w:hAnsi="Arial"/>
                <w:i/>
                <w:iCs/>
                <w:color w:val="auto"/>
                <w:sz w:val="20"/>
                <w:szCs w:val="20"/>
                <w:lang w:bidi="ar-SA"/>
              </w:rPr>
              <w:t>Cogent Economics &amp; Finance</w:t>
            </w: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, 8: 1710970. </w:t>
            </w:r>
            <w:hyperlink r:id="rId13">
              <w:r w:rsidRPr="0053222A">
                <w:rPr>
                  <w:rStyle w:val="Hyperlink"/>
                  <w:rFonts w:ascii="Arial" w:eastAsia="Times New Roman" w:hAnsi="Arial"/>
                  <w:sz w:val="20"/>
                  <w:szCs w:val="20"/>
                  <w:lang w:bidi="ar-SA"/>
                </w:rPr>
                <w:t>https://doi.org/10.1080/23322039.2019.1710970</w:t>
              </w:r>
            </w:hyperlink>
          </w:p>
          <w:p w14:paraId="6FEAD894" w14:textId="77777777" w:rsidR="00B34CAE" w:rsidRPr="0053222A" w:rsidRDefault="00B34CAE" w:rsidP="00B34CAE">
            <w:pPr>
              <w:pStyle w:val="Compact"/>
              <w:spacing w:before="0" w:after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15B72D1F" w14:textId="77777777" w:rsidR="006367D8" w:rsidRDefault="006367D8"/>
    <w:sectPr w:rsidR="006367D8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7E5DB" w14:textId="77777777" w:rsidR="007A1BC0" w:rsidRDefault="007A1BC0" w:rsidP="00C90E86">
      <w:pPr>
        <w:spacing w:after="0" w:line="240" w:lineRule="auto"/>
      </w:pPr>
      <w:r>
        <w:separator/>
      </w:r>
    </w:p>
  </w:endnote>
  <w:endnote w:type="continuationSeparator" w:id="0">
    <w:p w14:paraId="4C0E908E" w14:textId="77777777" w:rsidR="007A1BC0" w:rsidRDefault="007A1BC0" w:rsidP="00C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CB71" w14:textId="77777777" w:rsidR="007A1BC0" w:rsidRDefault="007A1BC0" w:rsidP="00C90E86">
      <w:pPr>
        <w:spacing w:after="0" w:line="240" w:lineRule="auto"/>
      </w:pPr>
      <w:r>
        <w:separator/>
      </w:r>
    </w:p>
  </w:footnote>
  <w:footnote w:type="continuationSeparator" w:id="0">
    <w:p w14:paraId="66131A1F" w14:textId="77777777" w:rsidR="007A1BC0" w:rsidRDefault="007A1BC0" w:rsidP="00C90E86">
      <w:pPr>
        <w:spacing w:after="0" w:line="240" w:lineRule="auto"/>
      </w:pPr>
      <w:r>
        <w:continuationSeparator/>
      </w:r>
    </w:p>
  </w:footnote>
  <w:footnote w:id="1">
    <w:p w14:paraId="2F4AB58F" w14:textId="77777777" w:rsidR="00B34CAE" w:rsidRDefault="00B34CAE" w:rsidP="00B34CAE">
      <w:pPr>
        <w:pStyle w:val="FootnoteText"/>
        <w:jc w:val="both"/>
      </w:pPr>
      <w:r>
        <w:rPr>
          <w:rStyle w:val="FootnoteCharacters"/>
        </w:rPr>
        <w:footnoteRef/>
      </w:r>
      <w:r>
        <w:rPr>
          <w:lang w:val="en-US"/>
        </w:rPr>
        <w:t>Please note that consulting the research focus area leader is no assurance that your application will be approved.  If,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0ABC" w14:textId="77777777" w:rsidR="00B34CAE" w:rsidRPr="00B34CAE" w:rsidRDefault="00B34CAE" w:rsidP="00B34CAE">
    <w:pPr>
      <w:pStyle w:val="Header"/>
      <w:jc w:val="right"/>
      <w:rPr>
        <w:rFonts w:ascii="Arial" w:eastAsia="Calibri" w:hAnsi="Arial"/>
      </w:rPr>
    </w:pPr>
    <w:r w:rsidRPr="00B34CAE">
      <w:rPr>
        <w:rFonts w:ascii="Arial" w:eastAsia="Calibri" w:hAnsi="Arial"/>
        <w:b/>
        <w:lang w:val="en-US"/>
      </w:rPr>
      <w:t>CEMS Research Focus Areas 2024</w:t>
    </w:r>
  </w:p>
  <w:p w14:paraId="61BCBBB1" w14:textId="77777777" w:rsidR="00B34CAE" w:rsidRDefault="00B34CAE">
    <w:pPr>
      <w:pStyle w:val="Header"/>
    </w:pPr>
  </w:p>
  <w:p w14:paraId="207956A3" w14:textId="77777777" w:rsidR="00B34CAE" w:rsidRDefault="00B34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52009"/>
    <w:multiLevelType w:val="multilevel"/>
    <w:tmpl w:val="70F4D3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866F3B"/>
    <w:multiLevelType w:val="hybridMultilevel"/>
    <w:tmpl w:val="2C8A29D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E0881"/>
    <w:multiLevelType w:val="multilevel"/>
    <w:tmpl w:val="E77287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BEB5EC4"/>
    <w:multiLevelType w:val="hybridMultilevel"/>
    <w:tmpl w:val="69B2575E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66558">
    <w:abstractNumId w:val="0"/>
  </w:num>
  <w:num w:numId="2" w16cid:durableId="404685871">
    <w:abstractNumId w:val="2"/>
  </w:num>
  <w:num w:numId="3" w16cid:durableId="1037193898">
    <w:abstractNumId w:val="1"/>
  </w:num>
  <w:num w:numId="4" w16cid:durableId="384762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86"/>
    <w:rsid w:val="006367D8"/>
    <w:rsid w:val="007A1BC0"/>
    <w:rsid w:val="009765AF"/>
    <w:rsid w:val="00A83320"/>
    <w:rsid w:val="00B34CAE"/>
    <w:rsid w:val="00BB6C21"/>
    <w:rsid w:val="00C90E86"/>
    <w:rsid w:val="00EE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44817C4-716B-4157-A96B-6B0CA0CD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E86"/>
    <w:pPr>
      <w:spacing w:after="200" w:line="276" w:lineRule="auto"/>
    </w:pPr>
    <w:rPr>
      <w:rFonts w:ascii="Calibri" w:hAnsi="Calibri" w:cs="Arial"/>
      <w:color w:val="00000A"/>
      <w:lang w:bidi="he-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0E86"/>
    <w:pPr>
      <w:keepNext/>
      <w:keepLines/>
      <w:spacing w:before="200" w:after="0" w:line="240" w:lineRule="auto"/>
      <w:outlineLvl w:val="2"/>
    </w:pPr>
    <w:rPr>
      <w:rFonts w:eastAsia="Times New Roman" w:cs="Times New Roman"/>
      <w:b/>
      <w:bCs/>
      <w:color w:val="4F81BD"/>
      <w:sz w:val="28"/>
      <w:szCs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qFormat/>
    <w:rsid w:val="00C90E86"/>
    <w:rPr>
      <w:rFonts w:ascii="Calibri" w:eastAsia="Times New Roman" w:hAnsi="Calibri" w:cs="Times New Roman"/>
      <w:b/>
      <w:bCs/>
      <w:color w:val="4F81BD"/>
      <w:sz w:val="28"/>
      <w:szCs w:val="28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C90E86"/>
    <w:rPr>
      <w:rFonts w:ascii="Calibri" w:eastAsia="Calibri" w:hAnsi="Calibri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C90E86"/>
    <w:rPr>
      <w:vertAlign w:val="superscript"/>
    </w:rPr>
  </w:style>
  <w:style w:type="character" w:customStyle="1" w:styleId="FootnoteAnchor">
    <w:name w:val="Footnote Anchor"/>
    <w:rsid w:val="00C90E86"/>
    <w:rPr>
      <w:vertAlign w:val="superscript"/>
    </w:rPr>
  </w:style>
  <w:style w:type="character" w:customStyle="1" w:styleId="InternetLink">
    <w:name w:val="Internet Link"/>
    <w:basedOn w:val="DefaultParagraphFont"/>
    <w:uiPriority w:val="99"/>
    <w:unhideWhenUsed/>
    <w:rsid w:val="00C90E8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0E86"/>
    <w:pPr>
      <w:ind w:left="720"/>
      <w:contextualSpacing/>
    </w:pPr>
  </w:style>
  <w:style w:type="paragraph" w:customStyle="1" w:styleId="Compact">
    <w:name w:val="Compact"/>
    <w:basedOn w:val="Normal"/>
    <w:qFormat/>
    <w:rsid w:val="00C90E86"/>
    <w:pPr>
      <w:spacing w:before="36" w:after="36" w:line="240" w:lineRule="auto"/>
    </w:pPr>
    <w:rPr>
      <w:rFonts w:ascii="Cambria" w:eastAsia="Cambria" w:hAnsi="Cambria"/>
      <w:sz w:val="24"/>
      <w:szCs w:val="24"/>
      <w:lang w:val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0E86"/>
    <w:pPr>
      <w:spacing w:after="0" w:line="240" w:lineRule="auto"/>
    </w:pPr>
    <w:rPr>
      <w:rFonts w:eastAsia="Calibri" w:cstheme="minorBidi"/>
      <w:color w:val="auto"/>
      <w:sz w:val="20"/>
      <w:szCs w:val="20"/>
      <w:lang w:bidi="ar-SA"/>
    </w:rPr>
  </w:style>
  <w:style w:type="character" w:customStyle="1" w:styleId="FootnoteTextChar1">
    <w:name w:val="Footnote Text Char1"/>
    <w:basedOn w:val="DefaultParagraphFont"/>
    <w:uiPriority w:val="99"/>
    <w:semiHidden/>
    <w:rsid w:val="00C90E86"/>
    <w:rPr>
      <w:rFonts w:ascii="Calibri" w:hAnsi="Calibri" w:cs="Arial"/>
      <w:color w:val="00000A"/>
      <w:sz w:val="20"/>
      <w:szCs w:val="20"/>
      <w:lang w:bidi="he-IL"/>
    </w:rPr>
  </w:style>
  <w:style w:type="character" w:styleId="Hyperlink">
    <w:name w:val="Hyperlink"/>
    <w:basedOn w:val="DefaultParagraphFont"/>
    <w:uiPriority w:val="99"/>
    <w:unhideWhenUsed/>
    <w:rsid w:val="00C90E86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34CAE"/>
    <w:rPr>
      <w:rFonts w:ascii="Calibri" w:eastAsia="Calibri" w:hAnsi="Calibri"/>
    </w:rPr>
  </w:style>
  <w:style w:type="paragraph" w:styleId="Footer">
    <w:name w:val="footer"/>
    <w:basedOn w:val="Normal"/>
    <w:link w:val="FooterChar"/>
    <w:uiPriority w:val="99"/>
    <w:unhideWhenUsed/>
    <w:rsid w:val="00B34CAE"/>
    <w:pPr>
      <w:tabs>
        <w:tab w:val="center" w:pos="4513"/>
        <w:tab w:val="right" w:pos="9026"/>
      </w:tabs>
      <w:spacing w:after="0" w:line="240" w:lineRule="auto"/>
    </w:pPr>
    <w:rPr>
      <w:rFonts w:eastAsia="Calibri" w:cstheme="minorBidi"/>
      <w:color w:val="auto"/>
      <w:lang w:bidi="ar-SA"/>
    </w:rPr>
  </w:style>
  <w:style w:type="character" w:customStyle="1" w:styleId="FooterChar1">
    <w:name w:val="Footer Char1"/>
    <w:basedOn w:val="DefaultParagraphFont"/>
    <w:uiPriority w:val="99"/>
    <w:semiHidden/>
    <w:rsid w:val="00B34CAE"/>
    <w:rPr>
      <w:rFonts w:ascii="Calibri" w:hAnsi="Calibri" w:cs="Arial"/>
      <w:color w:val="00000A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B34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B34CAE"/>
    <w:rPr>
      <w:rFonts w:ascii="Calibri" w:hAnsi="Calibri" w:cs="Arial"/>
      <w:color w:val="00000A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tgiph@unisa.ac.za" TargetMode="External"/><Relationship Id="rId13" Type="http://schemas.openxmlformats.org/officeDocument/2006/relationships/hyperlink" Target="https://doi.org/10.1080/23322039.2019.17109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pandmm@unisa.ac.z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kers@unisa.ac.z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ulaump@unisa.ac.z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rdakh@unisa.ac.z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C329-5E77-4A29-B7D9-13984F48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Amusa, Kafayat</dc:creator>
  <cp:keywords/>
  <dc:description/>
  <cp:lastModifiedBy>Amusako</cp:lastModifiedBy>
  <cp:revision>2</cp:revision>
  <dcterms:created xsi:type="dcterms:W3CDTF">2023-04-22T07:46:00Z</dcterms:created>
  <dcterms:modified xsi:type="dcterms:W3CDTF">2023-04-22T07:53:00Z</dcterms:modified>
</cp:coreProperties>
</file>