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948"/>
        <w:gridCol w:w="75"/>
        <w:gridCol w:w="5465"/>
      </w:tblGrid>
      <w:tr w:rsidR="003C6EC8" w:rsidRPr="003C6EC8" w14:paraId="2632C481" w14:textId="77777777" w:rsidTr="001A33DA">
        <w:trPr>
          <w:trHeight w:val="276"/>
        </w:trPr>
        <w:tc>
          <w:tcPr>
            <w:tcW w:w="3748" w:type="dxa"/>
            <w:gridSpan w:val="2"/>
            <w:shd w:val="clear" w:color="auto" w:fill="auto"/>
          </w:tcPr>
          <w:p w14:paraId="31C70094"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Department</w:t>
            </w:r>
          </w:p>
        </w:tc>
        <w:tc>
          <w:tcPr>
            <w:tcW w:w="5540" w:type="dxa"/>
            <w:gridSpan w:val="2"/>
            <w:shd w:val="clear" w:color="auto" w:fill="auto"/>
          </w:tcPr>
          <w:p w14:paraId="3A6DED3B"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Finance, Risk Management and Banking</w:t>
            </w:r>
          </w:p>
        </w:tc>
      </w:tr>
      <w:tr w:rsidR="003C6EC8" w:rsidRPr="003C6EC8" w14:paraId="44EFBF5B" w14:textId="77777777" w:rsidTr="001A33DA">
        <w:trPr>
          <w:trHeight w:val="276"/>
        </w:trPr>
        <w:tc>
          <w:tcPr>
            <w:tcW w:w="3748" w:type="dxa"/>
            <w:gridSpan w:val="2"/>
            <w:shd w:val="clear" w:color="auto" w:fill="auto"/>
          </w:tcPr>
          <w:p w14:paraId="04A95B10"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Discipline</w:t>
            </w:r>
          </w:p>
        </w:tc>
        <w:tc>
          <w:tcPr>
            <w:tcW w:w="5540" w:type="dxa"/>
            <w:gridSpan w:val="2"/>
            <w:shd w:val="clear" w:color="auto" w:fill="auto"/>
          </w:tcPr>
          <w:p w14:paraId="70173240"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Insurance and Banking</w:t>
            </w:r>
          </w:p>
        </w:tc>
      </w:tr>
      <w:tr w:rsidR="003C6EC8" w:rsidRPr="003C6EC8" w14:paraId="72884714" w14:textId="77777777" w:rsidTr="001A33DA">
        <w:tc>
          <w:tcPr>
            <w:tcW w:w="3748" w:type="dxa"/>
            <w:gridSpan w:val="2"/>
            <w:tcBorders>
              <w:bottom w:val="single" w:sz="4" w:space="0" w:color="auto"/>
            </w:tcBorders>
            <w:shd w:val="clear" w:color="auto" w:fill="auto"/>
          </w:tcPr>
          <w:p w14:paraId="3C8CD482"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Research Focus Area</w:t>
            </w:r>
          </w:p>
        </w:tc>
        <w:tc>
          <w:tcPr>
            <w:tcW w:w="5540" w:type="dxa"/>
            <w:gridSpan w:val="2"/>
            <w:tcBorders>
              <w:bottom w:val="single" w:sz="4" w:space="0" w:color="auto"/>
            </w:tcBorders>
            <w:shd w:val="clear" w:color="auto" w:fill="auto"/>
          </w:tcPr>
          <w:p w14:paraId="01C15FE3"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Insurance and Banking</w:t>
            </w:r>
          </w:p>
        </w:tc>
      </w:tr>
      <w:tr w:rsidR="00DA4BF6" w:rsidRPr="003C6EC8" w14:paraId="6137A640" w14:textId="77777777" w:rsidTr="001A33DA">
        <w:tc>
          <w:tcPr>
            <w:tcW w:w="3748" w:type="dxa"/>
            <w:gridSpan w:val="2"/>
            <w:tcBorders>
              <w:bottom w:val="single" w:sz="4" w:space="0" w:color="auto"/>
            </w:tcBorders>
            <w:shd w:val="clear" w:color="auto" w:fill="auto"/>
          </w:tcPr>
          <w:p w14:paraId="7B097C28" w14:textId="2CF7F4E1" w:rsidR="00DA4BF6" w:rsidRPr="003C6EC8" w:rsidRDefault="00DA4BF6" w:rsidP="003C6EC8">
            <w:pPr>
              <w:spacing w:after="0" w:line="240" w:lineRule="auto"/>
              <w:jc w:val="both"/>
              <w:rPr>
                <w:rFonts w:ascii="Arial" w:eastAsia="Calibri" w:hAnsi="Arial" w:cs="Arial"/>
                <w:b/>
                <w:lang w:val="en-ZA" w:bidi="he-IL"/>
              </w:rPr>
            </w:pPr>
            <w:r>
              <w:rPr>
                <w:rFonts w:ascii="Arial" w:eastAsia="Calibri" w:hAnsi="Arial" w:cs="Arial"/>
                <w:b/>
                <w:lang w:val="en-ZA" w:bidi="he-IL"/>
              </w:rPr>
              <w:t>Total capacity for 2024</w:t>
            </w:r>
          </w:p>
        </w:tc>
        <w:tc>
          <w:tcPr>
            <w:tcW w:w="5540" w:type="dxa"/>
            <w:gridSpan w:val="2"/>
            <w:tcBorders>
              <w:bottom w:val="single" w:sz="4" w:space="0" w:color="auto"/>
            </w:tcBorders>
            <w:shd w:val="clear" w:color="auto" w:fill="auto"/>
          </w:tcPr>
          <w:p w14:paraId="35ED0723" w14:textId="7B4C19CA" w:rsidR="00DA4BF6" w:rsidRPr="00DA4BF6" w:rsidRDefault="00DA4BF6" w:rsidP="00DA4BF6">
            <w:pPr>
              <w:spacing w:after="0" w:line="240" w:lineRule="auto"/>
              <w:jc w:val="both"/>
              <w:rPr>
                <w:rFonts w:ascii="Arial" w:eastAsia="Calibri" w:hAnsi="Arial" w:cs="Arial"/>
                <w:lang w:val="en-ZA" w:bidi="he-IL"/>
              </w:rPr>
            </w:pPr>
            <w:r>
              <w:rPr>
                <w:rFonts w:ascii="Arial" w:eastAsia="Calibri" w:hAnsi="Arial" w:cs="Arial"/>
                <w:lang w:val="en-ZA" w:bidi="he-IL"/>
              </w:rPr>
              <w:t>8 (</w:t>
            </w:r>
            <w:r>
              <w:rPr>
                <w:rFonts w:ascii="Arial" w:eastAsia="Calibri" w:hAnsi="Arial" w:cs="Arial"/>
                <w:lang w:val="en-ZA" w:bidi="he-IL"/>
              </w:rPr>
              <w:t xml:space="preserve">5 MPhil </w:t>
            </w:r>
            <w:r>
              <w:rPr>
                <w:rFonts w:ascii="Arial" w:eastAsia="Calibri" w:hAnsi="Arial" w:cs="Arial"/>
                <w:lang w:val="en-ZA" w:bidi="he-IL"/>
              </w:rPr>
              <w:t xml:space="preserve">and </w:t>
            </w:r>
            <w:r>
              <w:rPr>
                <w:rFonts w:ascii="Arial" w:eastAsia="Calibri" w:hAnsi="Arial" w:cs="Arial"/>
                <w:lang w:val="en-ZA" w:bidi="he-IL"/>
              </w:rPr>
              <w:t>3 PhD</w:t>
            </w:r>
            <w:r>
              <w:rPr>
                <w:rFonts w:ascii="Arial" w:eastAsia="Calibri" w:hAnsi="Arial" w:cs="Arial"/>
                <w:lang w:val="en-ZA" w:bidi="he-IL"/>
              </w:rPr>
              <w:t>)</w:t>
            </w:r>
          </w:p>
        </w:tc>
      </w:tr>
      <w:tr w:rsidR="003C6EC8" w:rsidRPr="003C6EC8" w14:paraId="4DACDA76" w14:textId="77777777" w:rsidTr="001A33DA">
        <w:trPr>
          <w:trHeight w:val="190"/>
        </w:trPr>
        <w:tc>
          <w:tcPr>
            <w:tcW w:w="9288" w:type="dxa"/>
            <w:gridSpan w:val="4"/>
            <w:tcBorders>
              <w:left w:val="nil"/>
              <w:right w:val="nil"/>
            </w:tcBorders>
            <w:shd w:val="clear" w:color="auto" w:fill="auto"/>
          </w:tcPr>
          <w:p w14:paraId="711BAC46" w14:textId="77777777" w:rsidR="003C6EC8" w:rsidRPr="003C6EC8" w:rsidRDefault="003C6EC8" w:rsidP="003C6EC8">
            <w:pPr>
              <w:spacing w:after="0" w:line="240" w:lineRule="auto"/>
              <w:jc w:val="both"/>
              <w:rPr>
                <w:rFonts w:ascii="Arial" w:eastAsia="Calibri" w:hAnsi="Arial" w:cs="Arial"/>
                <w:b/>
                <w:bCs/>
                <w:lang w:val="en-ZA" w:bidi="he-IL"/>
              </w:rPr>
            </w:pPr>
          </w:p>
        </w:tc>
      </w:tr>
      <w:tr w:rsidR="003C6EC8" w:rsidRPr="003C6EC8" w14:paraId="685EC174" w14:textId="77777777" w:rsidTr="00920457">
        <w:trPr>
          <w:trHeight w:val="190"/>
        </w:trPr>
        <w:tc>
          <w:tcPr>
            <w:tcW w:w="3823" w:type="dxa"/>
            <w:gridSpan w:val="3"/>
            <w:shd w:val="clear" w:color="auto" w:fill="D9D9D9"/>
          </w:tcPr>
          <w:p w14:paraId="7B45C365"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lang w:val="en-ZA" w:bidi="he-IL"/>
              </w:rPr>
              <w:t>Supervision Team details:</w:t>
            </w:r>
          </w:p>
        </w:tc>
        <w:tc>
          <w:tcPr>
            <w:tcW w:w="5465" w:type="dxa"/>
            <w:shd w:val="clear" w:color="auto" w:fill="D9D9D9"/>
          </w:tcPr>
          <w:p w14:paraId="3E65F46D"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Academic Profiles</w:t>
            </w:r>
          </w:p>
        </w:tc>
      </w:tr>
      <w:tr w:rsidR="003C6EC8" w:rsidRPr="003C6EC8" w14:paraId="3E93C516" w14:textId="77777777" w:rsidTr="00920457">
        <w:trPr>
          <w:trHeight w:val="1358"/>
        </w:trPr>
        <w:tc>
          <w:tcPr>
            <w:tcW w:w="3823" w:type="dxa"/>
            <w:gridSpan w:val="3"/>
            <w:shd w:val="clear" w:color="auto" w:fill="auto"/>
          </w:tcPr>
          <w:p w14:paraId="16306067" w14:textId="77777777" w:rsidR="003C6EC8" w:rsidRPr="003C6EC8" w:rsidRDefault="003C6EC8" w:rsidP="003C6EC8">
            <w:pPr>
              <w:spacing w:after="0" w:line="240" w:lineRule="auto"/>
              <w:jc w:val="both"/>
              <w:rPr>
                <w:rFonts w:ascii="Arial" w:eastAsia="Calibri" w:hAnsi="Arial" w:cs="Arial"/>
                <w:b/>
                <w:bCs/>
                <w:lang w:val="it-IT" w:bidi="he-IL"/>
              </w:rPr>
            </w:pPr>
            <w:r w:rsidRPr="003C6EC8">
              <w:rPr>
                <w:rFonts w:ascii="Arial" w:eastAsia="Calibri" w:hAnsi="Arial" w:cs="Arial"/>
                <w:b/>
                <w:bCs/>
                <w:lang w:val="it-IT" w:bidi="he-IL"/>
              </w:rPr>
              <w:t>Prof Athenia Bongani Sibindi</w:t>
            </w:r>
          </w:p>
          <w:p w14:paraId="58EEFA0D"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vertAlign w:val="superscript"/>
                <w:lang w:val="en-ZA" w:bidi="he-IL"/>
              </w:rPr>
              <w:footnoteReference w:id="1"/>
            </w:r>
            <w:r w:rsidRPr="003C6EC8">
              <w:rPr>
                <w:rFonts w:ascii="Arial" w:eastAsia="Calibri" w:hAnsi="Arial" w:cs="Arial"/>
                <w:b/>
                <w:lang w:val="en-ZA" w:bidi="he-IL"/>
              </w:rPr>
              <w:t>(Contact person for this focus area)</w:t>
            </w:r>
          </w:p>
          <w:p w14:paraId="62FBAC1F" w14:textId="77777777" w:rsidR="003C6EC8" w:rsidRPr="003C6EC8" w:rsidRDefault="003C6EC8" w:rsidP="003C6EC8">
            <w:pPr>
              <w:spacing w:after="0" w:line="240" w:lineRule="auto"/>
              <w:jc w:val="both"/>
              <w:rPr>
                <w:rFonts w:ascii="Arial" w:eastAsia="Calibri" w:hAnsi="Arial" w:cs="Arial"/>
                <w:b/>
                <w:bCs/>
                <w:lang w:val="it-IT" w:bidi="he-IL"/>
              </w:rPr>
            </w:pPr>
          </w:p>
          <w:p w14:paraId="6C071493" w14:textId="77777777" w:rsidR="003C6EC8" w:rsidRPr="003C6EC8" w:rsidRDefault="003C6EC8" w:rsidP="003C6EC8">
            <w:pPr>
              <w:spacing w:after="0" w:line="240" w:lineRule="auto"/>
              <w:jc w:val="both"/>
              <w:rPr>
                <w:rFonts w:ascii="Arial" w:eastAsia="Calibri" w:hAnsi="Arial" w:cs="Arial"/>
                <w:lang w:val="it-IT" w:bidi="he-IL"/>
              </w:rPr>
            </w:pPr>
            <w:r w:rsidRPr="003C6EC8">
              <w:rPr>
                <w:rFonts w:ascii="Arial" w:eastAsia="Calibri" w:hAnsi="Arial" w:cs="Arial"/>
                <w:lang w:val="it-IT" w:bidi="he-IL"/>
              </w:rPr>
              <w:t>Office: NSR 5-84</w:t>
            </w:r>
          </w:p>
          <w:p w14:paraId="66AD3A25" w14:textId="77777777" w:rsidR="003C6EC8" w:rsidRPr="003C6EC8" w:rsidRDefault="003C6EC8" w:rsidP="003C6EC8">
            <w:pPr>
              <w:spacing w:after="0" w:line="240" w:lineRule="auto"/>
              <w:jc w:val="both"/>
              <w:rPr>
                <w:rFonts w:ascii="Arial" w:eastAsia="Calibri" w:hAnsi="Arial" w:cs="Arial"/>
                <w:color w:val="0070C0"/>
                <w:lang w:val="en-US" w:bidi="he-IL"/>
              </w:rPr>
            </w:pPr>
            <w:r w:rsidRPr="003C6EC8">
              <w:rPr>
                <w:rFonts w:ascii="Arial" w:eastAsia="Calibri" w:hAnsi="Arial" w:cs="Arial"/>
                <w:lang w:val="en-US" w:bidi="he-IL"/>
              </w:rPr>
              <w:t xml:space="preserve">Email: </w:t>
            </w:r>
            <w:hyperlink r:id="rId7" w:history="1">
              <w:r w:rsidRPr="003C6EC8">
                <w:rPr>
                  <w:rFonts w:ascii="Arial" w:eastAsia="Calibri" w:hAnsi="Arial" w:cs="Arial"/>
                  <w:color w:val="0070C0"/>
                  <w:u w:val="single"/>
                  <w:lang w:val="en-US" w:bidi="he-IL"/>
                </w:rPr>
                <w:t>sibinab@unisa.ac.za</w:t>
              </w:r>
            </w:hyperlink>
            <w:r w:rsidRPr="003C6EC8">
              <w:rPr>
                <w:rFonts w:ascii="Arial" w:eastAsia="Calibri" w:hAnsi="Arial" w:cs="Arial"/>
                <w:color w:val="0070C0"/>
                <w:u w:val="single"/>
                <w:lang w:val="en-US" w:bidi="he-IL"/>
              </w:rPr>
              <w:t xml:space="preserve"> </w:t>
            </w:r>
            <w:r w:rsidRPr="003C6EC8">
              <w:rPr>
                <w:rFonts w:ascii="Arial" w:eastAsia="Calibri" w:hAnsi="Arial" w:cs="Arial"/>
                <w:color w:val="0070C0"/>
                <w:lang w:val="en-US" w:bidi="he-IL"/>
              </w:rPr>
              <w:t xml:space="preserve"> </w:t>
            </w:r>
          </w:p>
          <w:p w14:paraId="1E9C8944" w14:textId="77777777" w:rsidR="003C6EC8" w:rsidRPr="003C6EC8" w:rsidRDefault="003C6EC8" w:rsidP="003C6EC8">
            <w:pPr>
              <w:spacing w:after="0" w:line="240" w:lineRule="auto"/>
              <w:jc w:val="both"/>
              <w:rPr>
                <w:rFonts w:ascii="Arial" w:eastAsia="Calibri" w:hAnsi="Arial" w:cs="Arial"/>
                <w:color w:val="0070C0"/>
                <w:lang w:val="en-US" w:bidi="he-IL"/>
              </w:rPr>
            </w:pPr>
            <w:r w:rsidRPr="003C6EC8">
              <w:rPr>
                <w:rFonts w:ascii="Arial" w:eastAsia="Calibri" w:hAnsi="Arial" w:cs="Arial"/>
                <w:lang w:val="en-US" w:bidi="he-IL"/>
              </w:rPr>
              <w:t xml:space="preserve">ORCID: </w:t>
            </w:r>
            <w:hyperlink r:id="rId8" w:history="1">
              <w:r w:rsidRPr="003C6EC8">
                <w:rPr>
                  <w:rFonts w:ascii="Arial" w:eastAsia="Calibri" w:hAnsi="Arial" w:cs="Arial"/>
                  <w:color w:val="0070C0"/>
                  <w:u w:val="single"/>
                  <w:lang w:val="en-US" w:bidi="he-IL"/>
                </w:rPr>
                <w:t>0000-0003-0953-8424</w:t>
              </w:r>
            </w:hyperlink>
            <w:r w:rsidRPr="003C6EC8">
              <w:rPr>
                <w:rFonts w:ascii="Arial" w:eastAsia="Calibri" w:hAnsi="Arial" w:cs="Arial"/>
                <w:color w:val="0070C0"/>
                <w:u w:val="single"/>
                <w:lang w:val="en-US" w:bidi="he-IL"/>
              </w:rPr>
              <w:t xml:space="preserve"> </w:t>
            </w:r>
          </w:p>
          <w:p w14:paraId="764AB7C9" w14:textId="125ABE6B" w:rsidR="003C6EC8" w:rsidRPr="003C6EC8" w:rsidRDefault="003C6EC8" w:rsidP="003C6EC8">
            <w:pPr>
              <w:spacing w:after="0" w:line="240" w:lineRule="auto"/>
              <w:jc w:val="both"/>
              <w:rPr>
                <w:rFonts w:ascii="Arial" w:eastAsia="Calibri" w:hAnsi="Arial" w:cs="Arial"/>
                <w:color w:val="0070C0"/>
                <w:lang w:val="en-ZA" w:bidi="he-IL"/>
              </w:rPr>
            </w:pPr>
            <w:r w:rsidRPr="003C6EC8">
              <w:rPr>
                <w:rFonts w:ascii="Arial" w:eastAsia="Calibri" w:hAnsi="Arial" w:cs="Arial"/>
                <w:lang w:val="en-ZA" w:bidi="he-IL"/>
              </w:rPr>
              <w:t xml:space="preserve">Institutional repository link: </w:t>
            </w:r>
            <w:hyperlink r:id="rId9" w:history="1">
              <w:r w:rsidRPr="003C6EC8">
                <w:rPr>
                  <w:rFonts w:ascii="Arial" w:eastAsia="Calibri" w:hAnsi="Arial" w:cs="Arial"/>
                  <w:color w:val="0070C0"/>
                  <w:u w:val="single"/>
                  <w:lang w:val="en-ZA" w:bidi="he-IL"/>
                </w:rPr>
                <w:t>http://hdl.handle.net/10500/20122</w:t>
              </w:r>
            </w:hyperlink>
            <w:r w:rsidRPr="009256C0">
              <w:rPr>
                <w:rFonts w:ascii="Arial" w:eastAsia="Calibri" w:hAnsi="Arial" w:cs="Arial"/>
                <w:color w:val="0070C0"/>
                <w:u w:val="single"/>
                <w:lang w:val="en-ZA" w:bidi="he-IL"/>
              </w:rPr>
              <w:t xml:space="preserve">  </w:t>
            </w:r>
          </w:p>
          <w:p w14:paraId="2B79A22A" w14:textId="77777777" w:rsidR="003C6EC8" w:rsidRPr="003C6EC8" w:rsidRDefault="003C6EC8" w:rsidP="003C6EC8">
            <w:pPr>
              <w:spacing w:after="0" w:line="240" w:lineRule="auto"/>
              <w:jc w:val="both"/>
              <w:rPr>
                <w:rFonts w:ascii="Arial" w:eastAsia="Calibri" w:hAnsi="Arial" w:cs="Arial"/>
                <w:color w:val="0070C0"/>
                <w:lang w:val="en-ZA" w:bidi="he-IL"/>
              </w:rPr>
            </w:pPr>
          </w:p>
          <w:p w14:paraId="744F00BE"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Niche areas:</w:t>
            </w:r>
          </w:p>
          <w:p w14:paraId="15DC70E9" w14:textId="049832A3" w:rsidR="003C6EC8" w:rsidRPr="003C6EC8" w:rsidRDefault="0042353B" w:rsidP="003C6EC8">
            <w:pPr>
              <w:numPr>
                <w:ilvl w:val="0"/>
                <w:numId w:val="11"/>
              </w:numPr>
              <w:spacing w:after="0" w:line="240" w:lineRule="auto"/>
              <w:contextualSpacing/>
              <w:jc w:val="both"/>
              <w:rPr>
                <w:rFonts w:ascii="Arial" w:eastAsia="Calibri" w:hAnsi="Arial" w:cs="Arial"/>
                <w:bCs/>
                <w:lang w:val="en-ZA" w:bidi="he-IL"/>
              </w:rPr>
            </w:pPr>
            <w:r>
              <w:rPr>
                <w:rFonts w:ascii="Arial" w:eastAsia="Calibri" w:hAnsi="Arial" w:cs="Arial"/>
                <w:bCs/>
                <w:lang w:val="en-ZA" w:bidi="he-IL"/>
              </w:rPr>
              <w:t xml:space="preserve">Sustainable </w:t>
            </w:r>
            <w:r w:rsidR="00F33C00">
              <w:rPr>
                <w:rFonts w:ascii="Arial" w:eastAsia="Calibri" w:hAnsi="Arial" w:cs="Arial"/>
                <w:bCs/>
                <w:lang w:val="en-ZA" w:bidi="he-IL"/>
              </w:rPr>
              <w:t>insurance</w:t>
            </w:r>
          </w:p>
          <w:p w14:paraId="44E46619" w14:textId="7A1C2908" w:rsidR="003C6EC8" w:rsidRDefault="003C6EC8" w:rsidP="003C6EC8">
            <w:pPr>
              <w:numPr>
                <w:ilvl w:val="0"/>
                <w:numId w:val="11"/>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Co</w:t>
            </w:r>
            <w:r w:rsidR="005F1530">
              <w:rPr>
                <w:rFonts w:ascii="Arial" w:eastAsia="Calibri" w:hAnsi="Arial" w:cs="Arial"/>
                <w:bCs/>
                <w:lang w:val="en-ZA" w:bidi="he-IL"/>
              </w:rPr>
              <w:t>rporate governance</w:t>
            </w:r>
          </w:p>
          <w:p w14:paraId="278BF603" w14:textId="7250303D" w:rsidR="00920457" w:rsidRDefault="00920457" w:rsidP="00920457">
            <w:pPr>
              <w:numPr>
                <w:ilvl w:val="0"/>
                <w:numId w:val="11"/>
              </w:numPr>
              <w:spacing w:after="0" w:line="240" w:lineRule="auto"/>
              <w:contextualSpacing/>
              <w:rPr>
                <w:rFonts w:ascii="Arial" w:eastAsia="Calibri" w:hAnsi="Arial" w:cs="Arial"/>
                <w:bCs/>
                <w:lang w:val="en-ZA" w:bidi="he-IL"/>
              </w:rPr>
            </w:pPr>
            <w:r>
              <w:rPr>
                <w:rFonts w:ascii="Arial" w:eastAsia="Calibri" w:hAnsi="Arial" w:cs="Arial"/>
                <w:bCs/>
                <w:lang w:val="en-ZA" w:bidi="he-IL"/>
              </w:rPr>
              <w:t>Financial market development</w:t>
            </w:r>
          </w:p>
          <w:p w14:paraId="3D28D3F1" w14:textId="4B5E0ADC" w:rsidR="00993E4A" w:rsidRPr="00993E4A" w:rsidRDefault="00993E4A" w:rsidP="00993E4A">
            <w:pPr>
              <w:spacing w:after="0" w:line="240" w:lineRule="auto"/>
              <w:contextualSpacing/>
              <w:rPr>
                <w:rFonts w:ascii="Arial" w:eastAsia="Calibri" w:hAnsi="Arial" w:cs="Arial"/>
                <w:bCs/>
                <w:lang w:val="en-ZA" w:bidi="he-IL"/>
              </w:rPr>
            </w:pPr>
            <w:r w:rsidRPr="00993E4A">
              <w:rPr>
                <w:rFonts w:ascii="Arial" w:eastAsia="Calibri" w:hAnsi="Arial" w:cs="Arial"/>
                <w:bCs/>
                <w:lang w:val="en-ZA" w:bidi="he-IL"/>
              </w:rPr>
              <w:t>202</w:t>
            </w:r>
            <w:r w:rsidR="00F844B3">
              <w:rPr>
                <w:rFonts w:ascii="Arial" w:eastAsia="Calibri" w:hAnsi="Arial" w:cs="Arial"/>
                <w:bCs/>
                <w:lang w:val="en-ZA" w:bidi="he-IL"/>
              </w:rPr>
              <w:t>4</w:t>
            </w:r>
            <w:r w:rsidRPr="00993E4A">
              <w:rPr>
                <w:rFonts w:ascii="Arial" w:eastAsia="Calibri" w:hAnsi="Arial" w:cs="Arial"/>
                <w:bCs/>
                <w:lang w:val="en-ZA" w:bidi="he-IL"/>
              </w:rPr>
              <w:t xml:space="preserve"> Supervision capacity:</w:t>
            </w:r>
          </w:p>
          <w:p w14:paraId="321BB189" w14:textId="093F1E95" w:rsidR="00993E4A" w:rsidRDefault="00993E4A" w:rsidP="00993E4A">
            <w:pPr>
              <w:pStyle w:val="ListParagraph"/>
              <w:numPr>
                <w:ilvl w:val="0"/>
                <w:numId w:val="15"/>
              </w:numPr>
              <w:spacing w:after="0" w:line="240" w:lineRule="auto"/>
              <w:rPr>
                <w:rFonts w:ascii="Arial" w:eastAsia="Calibri" w:hAnsi="Arial" w:cs="Arial"/>
                <w:bCs/>
                <w:lang w:val="en-ZA" w:bidi="he-IL"/>
              </w:rPr>
            </w:pPr>
            <w:r w:rsidRPr="00993E4A">
              <w:rPr>
                <w:rFonts w:ascii="Arial" w:eastAsia="Calibri" w:hAnsi="Arial" w:cs="Arial"/>
                <w:bCs/>
                <w:lang w:val="en-ZA" w:bidi="he-IL"/>
              </w:rPr>
              <w:t xml:space="preserve">MPhil: </w:t>
            </w:r>
            <w:r w:rsidR="002A3C2A">
              <w:rPr>
                <w:rFonts w:ascii="Arial" w:eastAsia="Calibri" w:hAnsi="Arial" w:cs="Arial"/>
                <w:bCs/>
                <w:lang w:val="en-ZA" w:bidi="he-IL"/>
              </w:rPr>
              <w:t>2</w:t>
            </w:r>
          </w:p>
          <w:p w14:paraId="092DA38E" w14:textId="74FB448F" w:rsidR="003C6EC8" w:rsidRPr="00A0384C" w:rsidRDefault="00993E4A" w:rsidP="00A0384C">
            <w:pPr>
              <w:pStyle w:val="ListParagraph"/>
              <w:numPr>
                <w:ilvl w:val="0"/>
                <w:numId w:val="15"/>
              </w:numPr>
              <w:spacing w:after="0" w:line="240" w:lineRule="auto"/>
              <w:rPr>
                <w:rFonts w:ascii="Arial" w:eastAsia="Calibri" w:hAnsi="Arial" w:cs="Arial"/>
                <w:bCs/>
                <w:lang w:val="en-ZA" w:bidi="he-IL"/>
              </w:rPr>
            </w:pPr>
            <w:r w:rsidRPr="00993E4A">
              <w:rPr>
                <w:rFonts w:ascii="Arial" w:eastAsia="Calibri" w:hAnsi="Arial" w:cs="Arial"/>
                <w:bCs/>
                <w:lang w:val="en-ZA" w:bidi="he-IL"/>
              </w:rPr>
              <w:t xml:space="preserve">PhD: </w:t>
            </w:r>
            <w:r w:rsidR="00343418">
              <w:rPr>
                <w:rFonts w:ascii="Arial" w:eastAsia="Calibri" w:hAnsi="Arial" w:cs="Arial"/>
                <w:bCs/>
                <w:lang w:val="en-ZA" w:bidi="he-IL"/>
              </w:rPr>
              <w:t>1</w:t>
            </w:r>
          </w:p>
        </w:tc>
        <w:tc>
          <w:tcPr>
            <w:tcW w:w="5465" w:type="dxa"/>
            <w:shd w:val="clear" w:color="auto" w:fill="auto"/>
          </w:tcPr>
          <w:p w14:paraId="36E8233A" w14:textId="7F4116F9" w:rsidR="003C6EC8" w:rsidRPr="003C6EC8" w:rsidRDefault="003C6EC8" w:rsidP="003C6EC8">
            <w:pPr>
              <w:spacing w:after="0" w:line="240" w:lineRule="auto"/>
              <w:jc w:val="both"/>
              <w:rPr>
                <w:rFonts w:ascii="Arial" w:eastAsia="Calibri" w:hAnsi="Arial" w:cs="Arial"/>
                <w:bCs/>
                <w:lang w:val="en-ZA" w:bidi="he-IL"/>
              </w:rPr>
            </w:pPr>
            <w:r w:rsidRPr="003C6EC8">
              <w:rPr>
                <w:rFonts w:ascii="Arial" w:eastAsia="Calibri" w:hAnsi="Arial" w:cs="Arial"/>
                <w:bCs/>
                <w:lang w:val="en-ZA" w:bidi="he-IL"/>
              </w:rPr>
              <w:t>Athenia Bongani Sibindi is a</w:t>
            </w:r>
            <w:r w:rsidR="00FF55CC">
              <w:rPr>
                <w:rFonts w:ascii="Arial" w:eastAsia="Calibri" w:hAnsi="Arial" w:cs="Arial"/>
                <w:bCs/>
                <w:lang w:val="en-ZA" w:bidi="he-IL"/>
              </w:rPr>
              <w:t xml:space="preserve"> </w:t>
            </w:r>
            <w:r w:rsidRPr="003C6EC8">
              <w:rPr>
                <w:rFonts w:ascii="Arial" w:eastAsia="Calibri" w:hAnsi="Arial" w:cs="Arial"/>
                <w:bCs/>
                <w:lang w:val="en-ZA" w:bidi="he-IL"/>
              </w:rPr>
              <w:t xml:space="preserve">Professor </w:t>
            </w:r>
            <w:r w:rsidR="00FD2B4E">
              <w:rPr>
                <w:rFonts w:ascii="Arial" w:eastAsia="Calibri" w:hAnsi="Arial" w:cs="Arial"/>
                <w:bCs/>
                <w:lang w:val="en-ZA" w:bidi="he-IL"/>
              </w:rPr>
              <w:t>of</w:t>
            </w:r>
            <w:r w:rsidRPr="003C6EC8">
              <w:rPr>
                <w:rFonts w:ascii="Arial" w:eastAsia="Calibri" w:hAnsi="Arial" w:cs="Arial"/>
                <w:bCs/>
                <w:lang w:val="en-ZA" w:bidi="he-IL"/>
              </w:rPr>
              <w:t xml:space="preserve"> Finance</w:t>
            </w:r>
            <w:r w:rsidR="00FF55CC">
              <w:rPr>
                <w:rFonts w:ascii="Arial" w:eastAsia="Calibri" w:hAnsi="Arial" w:cs="Arial"/>
                <w:bCs/>
                <w:lang w:val="en-ZA" w:bidi="he-IL"/>
              </w:rPr>
              <w:t xml:space="preserve">, Risk </w:t>
            </w:r>
            <w:proofErr w:type="gramStart"/>
            <w:r w:rsidR="00FF55CC">
              <w:rPr>
                <w:rFonts w:ascii="Arial" w:eastAsia="Calibri" w:hAnsi="Arial" w:cs="Arial"/>
                <w:bCs/>
                <w:lang w:val="en-ZA" w:bidi="he-IL"/>
              </w:rPr>
              <w:t>Management</w:t>
            </w:r>
            <w:proofErr w:type="gramEnd"/>
            <w:r w:rsidRPr="003C6EC8">
              <w:rPr>
                <w:rFonts w:ascii="Arial" w:eastAsia="Calibri" w:hAnsi="Arial" w:cs="Arial"/>
                <w:bCs/>
                <w:lang w:val="en-ZA" w:bidi="he-IL"/>
              </w:rPr>
              <w:t xml:space="preserve"> and Insurance. He is a holder of a PhD in Finance degree obtained from UNISA. </w:t>
            </w:r>
            <w:r w:rsidR="00342FBA">
              <w:rPr>
                <w:rFonts w:ascii="Arial" w:eastAsia="Calibri" w:hAnsi="Arial" w:cs="Arial"/>
                <w:bCs/>
                <w:lang w:val="en-ZA" w:bidi="he-IL"/>
              </w:rPr>
              <w:t>Further</w:t>
            </w:r>
            <w:r w:rsidR="0040495F">
              <w:rPr>
                <w:rFonts w:ascii="Arial" w:eastAsia="Calibri" w:hAnsi="Arial" w:cs="Arial"/>
                <w:bCs/>
                <w:lang w:val="en-ZA" w:bidi="he-IL"/>
              </w:rPr>
              <w:t xml:space="preserve">, </w:t>
            </w:r>
            <w:r w:rsidRPr="003C6EC8">
              <w:rPr>
                <w:rFonts w:ascii="Arial" w:eastAsia="Calibri" w:hAnsi="Arial" w:cs="Arial"/>
                <w:bCs/>
                <w:lang w:val="en-ZA" w:bidi="he-IL"/>
              </w:rPr>
              <w:t xml:space="preserve">Athenia is a Fellow of the Insurance Institute of South Africa (FIISA) and Certified Risk Management Practitioner (CRM </w:t>
            </w:r>
            <w:proofErr w:type="spellStart"/>
            <w:r w:rsidRPr="003C6EC8">
              <w:rPr>
                <w:rFonts w:ascii="Arial" w:eastAsia="Calibri" w:hAnsi="Arial" w:cs="Arial"/>
                <w:bCs/>
                <w:lang w:val="en-ZA" w:bidi="he-IL"/>
              </w:rPr>
              <w:t>Prac</w:t>
            </w:r>
            <w:proofErr w:type="spellEnd"/>
            <w:r w:rsidRPr="003C6EC8">
              <w:rPr>
                <w:rFonts w:ascii="Arial" w:eastAsia="Calibri" w:hAnsi="Arial" w:cs="Arial"/>
                <w:bCs/>
                <w:lang w:val="en-ZA" w:bidi="he-IL"/>
              </w:rPr>
              <w:t xml:space="preserve">). He has published extensively on financial markets and contemporary issues in insurance research and supervised several masters and PhD students to completion. His research interests </w:t>
            </w:r>
            <w:proofErr w:type="gramStart"/>
            <w:r w:rsidRPr="003C6EC8">
              <w:rPr>
                <w:rFonts w:ascii="Arial" w:eastAsia="Calibri" w:hAnsi="Arial" w:cs="Arial"/>
                <w:bCs/>
                <w:lang w:val="en-ZA" w:bidi="he-IL"/>
              </w:rPr>
              <w:t>include,</w:t>
            </w:r>
            <w:proofErr w:type="gramEnd"/>
            <w:r w:rsidRPr="003C6EC8">
              <w:rPr>
                <w:rFonts w:ascii="Arial" w:eastAsia="Calibri" w:hAnsi="Arial" w:cs="Arial"/>
                <w:bCs/>
                <w:lang w:val="en-ZA" w:bidi="he-IL"/>
              </w:rPr>
              <w:t xml:space="preserve"> </w:t>
            </w:r>
            <w:r w:rsidR="00F33C00">
              <w:rPr>
                <w:rFonts w:ascii="Arial" w:eastAsia="Calibri" w:hAnsi="Arial" w:cs="Arial"/>
                <w:bCs/>
                <w:lang w:val="en-ZA" w:bidi="he-IL"/>
              </w:rPr>
              <w:t>sustainable insurance</w:t>
            </w:r>
            <w:r w:rsidRPr="003C6EC8">
              <w:rPr>
                <w:rFonts w:ascii="Arial" w:eastAsia="Calibri" w:hAnsi="Arial" w:cs="Arial"/>
                <w:bCs/>
                <w:lang w:val="en-ZA" w:bidi="he-IL"/>
              </w:rPr>
              <w:t>,</w:t>
            </w:r>
            <w:r w:rsidR="00473A76">
              <w:rPr>
                <w:rFonts w:ascii="Arial" w:eastAsia="Calibri" w:hAnsi="Arial" w:cs="Arial"/>
                <w:bCs/>
                <w:lang w:val="en-ZA" w:bidi="he-IL"/>
              </w:rPr>
              <w:t xml:space="preserve"> corporate governance</w:t>
            </w:r>
            <w:r w:rsidR="000F0261">
              <w:rPr>
                <w:rFonts w:ascii="Arial" w:eastAsia="Calibri" w:hAnsi="Arial" w:cs="Arial"/>
                <w:bCs/>
                <w:lang w:val="en-ZA" w:bidi="he-IL"/>
              </w:rPr>
              <w:t xml:space="preserve"> and </w:t>
            </w:r>
            <w:r w:rsidR="00B27861">
              <w:rPr>
                <w:rFonts w:ascii="Arial" w:eastAsia="Calibri" w:hAnsi="Arial" w:cs="Arial"/>
                <w:bCs/>
                <w:lang w:val="en-ZA" w:bidi="he-IL"/>
              </w:rPr>
              <w:t>financial market deve</w:t>
            </w:r>
            <w:r w:rsidR="0029679D">
              <w:rPr>
                <w:rFonts w:ascii="Arial" w:eastAsia="Calibri" w:hAnsi="Arial" w:cs="Arial"/>
                <w:bCs/>
                <w:lang w:val="en-ZA" w:bidi="he-IL"/>
              </w:rPr>
              <w:t>lopment</w:t>
            </w:r>
            <w:r w:rsidRPr="003C6EC8">
              <w:rPr>
                <w:rFonts w:ascii="Arial" w:eastAsia="Calibri" w:hAnsi="Arial" w:cs="Arial"/>
                <w:bCs/>
                <w:lang w:val="en-ZA" w:bidi="he-IL"/>
              </w:rPr>
              <w:t>.  Athenia is knowledgeable in several econometric techniques. Proposed studies should be quantitative in nature.</w:t>
            </w:r>
          </w:p>
          <w:p w14:paraId="029C3B18" w14:textId="77777777" w:rsidR="003C6EC8" w:rsidRPr="003C6EC8" w:rsidRDefault="003C6EC8" w:rsidP="003C6EC8">
            <w:pPr>
              <w:spacing w:after="0" w:line="240" w:lineRule="auto"/>
              <w:jc w:val="both"/>
              <w:rPr>
                <w:rFonts w:ascii="Arial" w:eastAsia="Calibri" w:hAnsi="Arial" w:cs="Arial"/>
                <w:lang w:val="en-ZA" w:bidi="he-IL"/>
              </w:rPr>
            </w:pPr>
          </w:p>
        </w:tc>
      </w:tr>
      <w:tr w:rsidR="003C6EC8" w:rsidRPr="003C6EC8" w14:paraId="023321BC" w14:textId="77777777" w:rsidTr="00920457">
        <w:trPr>
          <w:trHeight w:val="1358"/>
        </w:trPr>
        <w:tc>
          <w:tcPr>
            <w:tcW w:w="3823" w:type="dxa"/>
            <w:gridSpan w:val="3"/>
            <w:shd w:val="clear" w:color="auto" w:fill="auto"/>
          </w:tcPr>
          <w:p w14:paraId="45FCADC4"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Prof Joseph Chisasa</w:t>
            </w:r>
          </w:p>
          <w:p w14:paraId="09A321B5"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Office: NSR 5-121</w:t>
            </w:r>
          </w:p>
          <w:p w14:paraId="5250C6A3"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Email: </w:t>
            </w:r>
            <w:hyperlink r:id="rId10" w:history="1">
              <w:r w:rsidRPr="003C6EC8">
                <w:rPr>
                  <w:rFonts w:ascii="Arial" w:eastAsia="Calibri" w:hAnsi="Arial" w:cs="Arial"/>
                  <w:color w:val="0000FF"/>
                  <w:u w:val="single"/>
                  <w:lang w:val="en-ZA" w:bidi="he-IL"/>
                </w:rPr>
                <w:t>chisaj@unisa.ac.za</w:t>
              </w:r>
            </w:hyperlink>
            <w:r w:rsidRPr="003C6EC8">
              <w:rPr>
                <w:rFonts w:ascii="Arial" w:eastAsia="Calibri" w:hAnsi="Arial" w:cs="Arial"/>
                <w:lang w:val="en-ZA" w:bidi="he-IL"/>
              </w:rPr>
              <w:t xml:space="preserve"> </w:t>
            </w:r>
          </w:p>
          <w:p w14:paraId="7FE149A8" w14:textId="77777777" w:rsidR="003C6EC8" w:rsidRPr="003C6EC8" w:rsidRDefault="003C6EC8" w:rsidP="003C6EC8">
            <w:pPr>
              <w:spacing w:after="0" w:line="240" w:lineRule="auto"/>
              <w:jc w:val="both"/>
              <w:rPr>
                <w:rFonts w:ascii="Arial" w:eastAsia="Calibri" w:hAnsi="Arial" w:cs="Arial"/>
                <w:lang w:val="en-ZA" w:bidi="he-IL"/>
              </w:rPr>
            </w:pPr>
          </w:p>
          <w:p w14:paraId="00D3A833" w14:textId="77777777" w:rsidR="003C6EC8" w:rsidRPr="003C6EC8" w:rsidRDefault="003C6EC8" w:rsidP="003C6EC8">
            <w:pPr>
              <w:spacing w:after="0" w:line="240" w:lineRule="auto"/>
              <w:rPr>
                <w:rFonts w:ascii="Arial" w:eastAsia="Calibri" w:hAnsi="Arial" w:cs="Arial"/>
                <w:lang w:val="en-US" w:bidi="he-IL"/>
              </w:rPr>
            </w:pPr>
            <w:r w:rsidRPr="003C6EC8">
              <w:rPr>
                <w:rFonts w:ascii="Arial" w:eastAsia="Calibri" w:hAnsi="Arial" w:cs="Arial"/>
                <w:lang w:val="en-US" w:bidi="he-IL"/>
              </w:rPr>
              <w:t xml:space="preserve">ORCID: </w:t>
            </w:r>
            <w:hyperlink r:id="rId11" w:history="1">
              <w:r w:rsidRPr="003C6EC8">
                <w:rPr>
                  <w:rFonts w:ascii="Arial" w:eastAsia="Calibri" w:hAnsi="Arial" w:cs="Arial"/>
                  <w:color w:val="0000FF"/>
                  <w:u w:val="single"/>
                  <w:lang w:val="en-US" w:bidi="he-IL"/>
                </w:rPr>
                <w:t>https://orcid.org/0000-0002-8923-1424</w:t>
              </w:r>
            </w:hyperlink>
            <w:r w:rsidRPr="003C6EC8">
              <w:rPr>
                <w:rFonts w:ascii="Arial" w:eastAsia="Calibri" w:hAnsi="Arial" w:cs="Arial"/>
                <w:lang w:val="en-US" w:bidi="he-IL"/>
              </w:rPr>
              <w:t xml:space="preserve">  </w:t>
            </w:r>
          </w:p>
          <w:p w14:paraId="52E84ADF" w14:textId="77777777" w:rsidR="003C6EC8" w:rsidRPr="003C6EC8" w:rsidRDefault="003C6EC8" w:rsidP="003C6EC8">
            <w:pPr>
              <w:spacing w:after="0" w:line="240" w:lineRule="auto"/>
              <w:rPr>
                <w:rFonts w:ascii="Arial" w:eastAsia="Calibri" w:hAnsi="Arial" w:cs="Arial"/>
                <w:b/>
                <w:bCs/>
                <w:lang w:val="de-DE" w:bidi="he-IL"/>
              </w:rPr>
            </w:pPr>
          </w:p>
          <w:p w14:paraId="348D3C82" w14:textId="77777777" w:rsidR="003C6EC8" w:rsidRPr="003C6EC8" w:rsidRDefault="003C6EC8" w:rsidP="003C6EC8">
            <w:pPr>
              <w:spacing w:after="0" w:line="240" w:lineRule="auto"/>
              <w:rPr>
                <w:rFonts w:ascii="Arial" w:eastAsia="Calibri" w:hAnsi="Arial" w:cs="Arial"/>
                <w:bCs/>
                <w:lang w:val="de-DE" w:bidi="he-IL"/>
              </w:rPr>
            </w:pPr>
            <w:r w:rsidRPr="003C6EC8">
              <w:rPr>
                <w:rFonts w:ascii="Arial" w:eastAsia="Calibri" w:hAnsi="Arial" w:cs="Arial"/>
                <w:bCs/>
                <w:lang w:val="de-DE" w:bidi="he-IL"/>
              </w:rPr>
              <w:t>Niche areas:</w:t>
            </w:r>
          </w:p>
          <w:p w14:paraId="0F0FD9A5" w14:textId="77777777" w:rsidR="003C6EC8" w:rsidRPr="007A0AF0" w:rsidRDefault="003C6EC8" w:rsidP="003C6EC8">
            <w:pPr>
              <w:numPr>
                <w:ilvl w:val="0"/>
                <w:numId w:val="10"/>
              </w:numPr>
              <w:spacing w:after="0" w:line="240" w:lineRule="auto"/>
              <w:contextualSpacing/>
              <w:rPr>
                <w:rFonts w:ascii="Arial" w:eastAsia="Calibri" w:hAnsi="Arial" w:cs="Arial"/>
                <w:bCs/>
                <w:lang w:val="de-DE" w:bidi="he-IL"/>
              </w:rPr>
            </w:pPr>
            <w:r w:rsidRPr="007A0AF0">
              <w:rPr>
                <w:rFonts w:ascii="Arial" w:eastAsia="Calibri" w:hAnsi="Arial" w:cs="Arial"/>
                <w:bCs/>
                <w:lang w:val="de-DE" w:bidi="he-IL"/>
              </w:rPr>
              <w:t>Contemporary Issues in Banking Research</w:t>
            </w:r>
          </w:p>
          <w:p w14:paraId="4D214433" w14:textId="53AF5FC7" w:rsidR="00A0384C" w:rsidRPr="007A0AF0" w:rsidRDefault="00A0384C" w:rsidP="00A0384C">
            <w:pPr>
              <w:spacing w:after="0" w:line="240" w:lineRule="auto"/>
              <w:contextualSpacing/>
              <w:rPr>
                <w:rFonts w:ascii="Arial" w:eastAsia="Calibri" w:hAnsi="Arial" w:cs="Arial"/>
                <w:bCs/>
                <w:lang w:val="de-DE" w:bidi="he-IL"/>
              </w:rPr>
            </w:pPr>
            <w:r w:rsidRPr="007A0AF0">
              <w:rPr>
                <w:rFonts w:ascii="Arial" w:eastAsia="Calibri" w:hAnsi="Arial" w:cs="Arial"/>
                <w:bCs/>
                <w:lang w:val="de-DE" w:bidi="he-IL"/>
              </w:rPr>
              <w:t>202</w:t>
            </w:r>
            <w:r w:rsidR="00A514A3">
              <w:rPr>
                <w:rFonts w:ascii="Arial" w:eastAsia="Calibri" w:hAnsi="Arial" w:cs="Arial"/>
                <w:bCs/>
                <w:lang w:val="de-DE" w:bidi="he-IL"/>
              </w:rPr>
              <w:t>4</w:t>
            </w:r>
            <w:r w:rsidRPr="007A0AF0">
              <w:rPr>
                <w:rFonts w:ascii="Arial" w:eastAsia="Calibri" w:hAnsi="Arial" w:cs="Arial"/>
                <w:bCs/>
                <w:lang w:val="de-DE" w:bidi="he-IL"/>
              </w:rPr>
              <w:t xml:space="preserve"> Supervision capacity:</w:t>
            </w:r>
          </w:p>
          <w:p w14:paraId="5522AE56" w14:textId="29715A8A" w:rsidR="001D243E" w:rsidRPr="007A0AF0" w:rsidRDefault="00A0384C" w:rsidP="001D243E">
            <w:pPr>
              <w:pStyle w:val="ListParagraph"/>
              <w:numPr>
                <w:ilvl w:val="0"/>
                <w:numId w:val="16"/>
              </w:numPr>
              <w:spacing w:after="0" w:line="240" w:lineRule="auto"/>
              <w:rPr>
                <w:rFonts w:ascii="Arial" w:eastAsia="Calibri" w:hAnsi="Arial" w:cs="Arial"/>
                <w:bCs/>
                <w:lang w:val="de-DE" w:bidi="he-IL"/>
              </w:rPr>
            </w:pPr>
            <w:r w:rsidRPr="007A0AF0">
              <w:rPr>
                <w:rFonts w:ascii="Arial" w:eastAsia="Calibri" w:hAnsi="Arial" w:cs="Arial"/>
                <w:bCs/>
                <w:lang w:val="de-DE" w:bidi="he-IL"/>
              </w:rPr>
              <w:t xml:space="preserve">MPhil: </w:t>
            </w:r>
            <w:r w:rsidR="00F844B3">
              <w:rPr>
                <w:rFonts w:ascii="Arial" w:eastAsia="Calibri" w:hAnsi="Arial" w:cs="Arial"/>
                <w:bCs/>
                <w:lang w:val="de-DE" w:bidi="he-IL"/>
              </w:rPr>
              <w:t>1</w:t>
            </w:r>
          </w:p>
          <w:p w14:paraId="295710F5" w14:textId="21E10983" w:rsidR="00A0384C" w:rsidRPr="001D243E" w:rsidRDefault="00A0384C" w:rsidP="001D243E">
            <w:pPr>
              <w:pStyle w:val="ListParagraph"/>
              <w:numPr>
                <w:ilvl w:val="0"/>
                <w:numId w:val="16"/>
              </w:numPr>
              <w:spacing w:after="0" w:line="240" w:lineRule="auto"/>
              <w:rPr>
                <w:rFonts w:ascii="Arial" w:eastAsia="Calibri" w:hAnsi="Arial" w:cs="Arial"/>
                <w:bCs/>
                <w:lang w:val="de-DE" w:bidi="he-IL"/>
              </w:rPr>
            </w:pPr>
            <w:r w:rsidRPr="007A0AF0">
              <w:rPr>
                <w:rFonts w:ascii="Arial" w:eastAsia="Calibri" w:hAnsi="Arial" w:cs="Arial"/>
                <w:bCs/>
                <w:lang w:val="de-DE" w:bidi="he-IL"/>
              </w:rPr>
              <w:t xml:space="preserve">PhD: </w:t>
            </w:r>
            <w:r w:rsidR="001444B5">
              <w:rPr>
                <w:rFonts w:ascii="Arial" w:eastAsia="Calibri" w:hAnsi="Arial" w:cs="Arial"/>
                <w:bCs/>
                <w:lang w:val="de-DE" w:bidi="he-IL"/>
              </w:rPr>
              <w:t>1</w:t>
            </w:r>
          </w:p>
        </w:tc>
        <w:tc>
          <w:tcPr>
            <w:tcW w:w="5465" w:type="dxa"/>
            <w:shd w:val="clear" w:color="auto" w:fill="auto"/>
          </w:tcPr>
          <w:p w14:paraId="0C3256A8" w14:textId="5C4E8D1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Joseph Chisasa is a Professor </w:t>
            </w:r>
            <w:r w:rsidR="00342FBA">
              <w:rPr>
                <w:rFonts w:ascii="Arial" w:eastAsia="Calibri" w:hAnsi="Arial" w:cs="Arial"/>
                <w:lang w:val="en-ZA" w:bidi="he-IL"/>
              </w:rPr>
              <w:t>of</w:t>
            </w:r>
            <w:r w:rsidRPr="003C6EC8">
              <w:rPr>
                <w:rFonts w:ascii="Arial" w:eastAsia="Calibri" w:hAnsi="Arial" w:cs="Arial"/>
                <w:lang w:val="en-ZA" w:bidi="he-IL"/>
              </w:rPr>
              <w:t xml:space="preserve"> </w:t>
            </w:r>
            <w:r w:rsidR="00342FBA">
              <w:rPr>
                <w:rFonts w:ascii="Arial" w:eastAsia="Calibri" w:hAnsi="Arial" w:cs="Arial"/>
                <w:lang w:val="en-ZA" w:bidi="he-IL"/>
              </w:rPr>
              <w:t>A</w:t>
            </w:r>
            <w:r w:rsidRPr="003C6EC8">
              <w:rPr>
                <w:rFonts w:ascii="Arial" w:eastAsia="Calibri" w:hAnsi="Arial" w:cs="Arial"/>
                <w:lang w:val="en-ZA" w:bidi="he-IL"/>
              </w:rPr>
              <w:t xml:space="preserve">gricultural </w:t>
            </w:r>
            <w:r w:rsidR="00342FBA">
              <w:rPr>
                <w:rFonts w:ascii="Arial" w:eastAsia="Calibri" w:hAnsi="Arial" w:cs="Arial"/>
                <w:lang w:val="en-ZA" w:bidi="he-IL"/>
              </w:rPr>
              <w:t>F</w:t>
            </w:r>
            <w:r w:rsidRPr="003C6EC8">
              <w:rPr>
                <w:rFonts w:ascii="Arial" w:eastAsia="Calibri" w:hAnsi="Arial" w:cs="Arial"/>
                <w:lang w:val="en-ZA" w:bidi="he-IL"/>
              </w:rPr>
              <w:t xml:space="preserve">inance. He completed his doctoral degree in 2015 at Unisa. He has published in international journals in the areas of bank credit and agricultural output, demand for credit by smallholder farmers, operational risk management and remittances. Prof. Chisasa has supervised several PhD and master’s students in the areas of funding models for agricultural banks, macroeconomic </w:t>
            </w:r>
            <w:proofErr w:type="gramStart"/>
            <w:r w:rsidRPr="003C6EC8">
              <w:rPr>
                <w:rFonts w:ascii="Arial" w:eastAsia="Calibri" w:hAnsi="Arial" w:cs="Arial"/>
                <w:lang w:val="en-ZA" w:bidi="he-IL"/>
              </w:rPr>
              <w:t>fundamentals</w:t>
            </w:r>
            <w:proofErr w:type="gramEnd"/>
            <w:r w:rsidRPr="003C6EC8">
              <w:rPr>
                <w:rFonts w:ascii="Arial" w:eastAsia="Calibri" w:hAnsi="Arial" w:cs="Arial"/>
                <w:lang w:val="en-ZA" w:bidi="he-IL"/>
              </w:rPr>
              <w:t xml:space="preserve"> and agricultural output, stokvels and financial intermediation. Studies using cross-sectional and time series secondary data will be given preference.</w:t>
            </w:r>
          </w:p>
        </w:tc>
      </w:tr>
      <w:tr w:rsidR="003C6EC8" w:rsidRPr="003C6EC8" w14:paraId="33384C35" w14:textId="77777777" w:rsidTr="00920457">
        <w:trPr>
          <w:trHeight w:val="699"/>
        </w:trPr>
        <w:tc>
          <w:tcPr>
            <w:tcW w:w="3823" w:type="dxa"/>
            <w:gridSpan w:val="3"/>
            <w:shd w:val="clear" w:color="auto" w:fill="auto"/>
          </w:tcPr>
          <w:p w14:paraId="1907E70D"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Prof Charles Nyoka</w:t>
            </w:r>
          </w:p>
          <w:p w14:paraId="5F379B50" w14:textId="77777777" w:rsidR="003C6EC8" w:rsidRPr="003C6EC8" w:rsidRDefault="003C6EC8" w:rsidP="003C6EC8">
            <w:pPr>
              <w:spacing w:after="0" w:line="240" w:lineRule="auto"/>
              <w:jc w:val="both"/>
              <w:rPr>
                <w:rFonts w:ascii="Arial" w:eastAsia="Calibri" w:hAnsi="Arial" w:cs="Arial"/>
                <w:bCs/>
                <w:lang w:val="en-ZA" w:bidi="he-IL"/>
              </w:rPr>
            </w:pPr>
            <w:r w:rsidRPr="003C6EC8">
              <w:rPr>
                <w:rFonts w:ascii="Arial" w:eastAsia="Calibri" w:hAnsi="Arial" w:cs="Arial"/>
                <w:bCs/>
                <w:lang w:val="en-ZA" w:bidi="he-IL"/>
              </w:rPr>
              <w:t>Office: NSR 5-105</w:t>
            </w:r>
          </w:p>
          <w:p w14:paraId="19D70C29" w14:textId="611F460A" w:rsidR="003C6EC8" w:rsidRDefault="003C6EC8" w:rsidP="00BD087B">
            <w:pPr>
              <w:spacing w:after="0" w:line="240" w:lineRule="auto"/>
              <w:jc w:val="both"/>
              <w:rPr>
                <w:rFonts w:ascii="Arial" w:eastAsia="Calibri" w:hAnsi="Arial" w:cs="Arial"/>
                <w:bCs/>
                <w:color w:val="0000FF"/>
                <w:u w:val="single"/>
                <w:lang w:val="en-ZA" w:bidi="he-IL"/>
              </w:rPr>
            </w:pPr>
            <w:r w:rsidRPr="003C6EC8">
              <w:rPr>
                <w:rFonts w:ascii="Arial" w:eastAsia="Calibri" w:hAnsi="Arial" w:cs="Arial"/>
                <w:bCs/>
                <w:lang w:val="en-ZA" w:bidi="he-IL"/>
              </w:rPr>
              <w:t xml:space="preserve">Email: </w:t>
            </w:r>
            <w:hyperlink r:id="rId12" w:history="1">
              <w:r w:rsidRPr="003C6EC8">
                <w:rPr>
                  <w:rFonts w:ascii="Arial" w:eastAsia="Calibri" w:hAnsi="Arial" w:cs="Arial"/>
                  <w:bCs/>
                  <w:color w:val="0000FF"/>
                  <w:u w:val="single"/>
                  <w:lang w:val="en-ZA" w:bidi="he-IL"/>
                </w:rPr>
                <w:t>nyokac@unisa.ac.za</w:t>
              </w:r>
            </w:hyperlink>
          </w:p>
          <w:p w14:paraId="07CED9E8" w14:textId="77777777" w:rsidR="00BD087B" w:rsidRPr="00BD087B" w:rsidRDefault="00BD087B" w:rsidP="00BD087B">
            <w:pPr>
              <w:spacing w:after="0" w:line="240" w:lineRule="auto"/>
              <w:jc w:val="both"/>
              <w:rPr>
                <w:rFonts w:ascii="Arial" w:eastAsia="Calibri" w:hAnsi="Arial" w:cs="Arial"/>
                <w:bCs/>
                <w:color w:val="0000FF"/>
                <w:u w:val="single"/>
                <w:lang w:val="en-ZA" w:bidi="he-IL"/>
              </w:rPr>
            </w:pPr>
          </w:p>
          <w:p w14:paraId="69FA34F8" w14:textId="77777777" w:rsidR="003C6EC8" w:rsidRPr="003C0E55" w:rsidRDefault="003C6EC8" w:rsidP="003C6EC8">
            <w:pPr>
              <w:spacing w:after="0" w:line="240" w:lineRule="auto"/>
              <w:rPr>
                <w:rFonts w:ascii="Arial" w:eastAsia="Calibri" w:hAnsi="Arial" w:cs="Arial"/>
                <w:bCs/>
                <w:lang w:val="de-DE" w:bidi="he-IL"/>
              </w:rPr>
            </w:pPr>
            <w:r w:rsidRPr="003C0E55">
              <w:rPr>
                <w:rFonts w:ascii="Arial" w:eastAsia="Calibri" w:hAnsi="Arial" w:cs="Arial"/>
                <w:bCs/>
                <w:lang w:val="de-DE" w:bidi="he-IL"/>
              </w:rPr>
              <w:t>Niche areas:</w:t>
            </w:r>
          </w:p>
          <w:p w14:paraId="3ECEF126" w14:textId="77777777" w:rsidR="003C6EC8" w:rsidRPr="003C0E55" w:rsidRDefault="003C6EC8" w:rsidP="003C6EC8">
            <w:pPr>
              <w:numPr>
                <w:ilvl w:val="0"/>
                <w:numId w:val="10"/>
              </w:numPr>
              <w:spacing w:after="0" w:line="240" w:lineRule="auto"/>
              <w:contextualSpacing/>
              <w:jc w:val="both"/>
              <w:rPr>
                <w:rFonts w:ascii="Arial" w:eastAsia="Calibri" w:hAnsi="Arial" w:cs="Arial"/>
                <w:bCs/>
                <w:lang w:val="en-ZA" w:bidi="he-IL"/>
              </w:rPr>
            </w:pPr>
            <w:r w:rsidRPr="003C0E55">
              <w:rPr>
                <w:rFonts w:ascii="Arial" w:eastAsia="Calibri" w:hAnsi="Arial" w:cs="Arial"/>
                <w:bCs/>
                <w:lang w:val="de-DE" w:bidi="he-IL"/>
              </w:rPr>
              <w:t>Contemporary Issues in Banking Research</w:t>
            </w:r>
          </w:p>
          <w:p w14:paraId="24061D97" w14:textId="753FAF34" w:rsidR="003C6EC8" w:rsidRPr="003C0E55" w:rsidRDefault="003C6EC8" w:rsidP="003C6EC8">
            <w:pPr>
              <w:numPr>
                <w:ilvl w:val="0"/>
                <w:numId w:val="10"/>
              </w:numPr>
              <w:spacing w:after="0" w:line="240" w:lineRule="auto"/>
              <w:contextualSpacing/>
              <w:jc w:val="both"/>
              <w:rPr>
                <w:rFonts w:ascii="Arial" w:eastAsia="Calibri" w:hAnsi="Arial" w:cs="Arial"/>
                <w:bCs/>
                <w:lang w:val="en-ZA" w:bidi="he-IL"/>
              </w:rPr>
            </w:pPr>
            <w:r w:rsidRPr="003C0E55">
              <w:rPr>
                <w:rFonts w:ascii="Arial" w:eastAsia="Calibri" w:hAnsi="Arial" w:cs="Arial"/>
                <w:bCs/>
                <w:lang w:val="en-ZA" w:bidi="he-IL"/>
              </w:rPr>
              <w:t>FinTech</w:t>
            </w:r>
          </w:p>
          <w:p w14:paraId="76525BA8" w14:textId="5F398E26" w:rsidR="00F53892" w:rsidRPr="003C0E55" w:rsidRDefault="00F53892" w:rsidP="00F53892">
            <w:pPr>
              <w:spacing w:after="0" w:line="240" w:lineRule="auto"/>
              <w:contextualSpacing/>
              <w:rPr>
                <w:rFonts w:ascii="Arial" w:eastAsia="Calibri" w:hAnsi="Arial" w:cs="Arial"/>
                <w:bCs/>
                <w:lang w:val="de-DE" w:bidi="he-IL"/>
              </w:rPr>
            </w:pPr>
            <w:r w:rsidRPr="003C0E55">
              <w:rPr>
                <w:rFonts w:ascii="Arial" w:eastAsia="Calibri" w:hAnsi="Arial" w:cs="Arial"/>
                <w:bCs/>
                <w:lang w:val="de-DE" w:bidi="he-IL"/>
              </w:rPr>
              <w:t>202</w:t>
            </w:r>
            <w:r w:rsidR="00A514A3">
              <w:rPr>
                <w:rFonts w:ascii="Arial" w:eastAsia="Calibri" w:hAnsi="Arial" w:cs="Arial"/>
                <w:bCs/>
                <w:lang w:val="de-DE" w:bidi="he-IL"/>
              </w:rPr>
              <w:t>4</w:t>
            </w:r>
            <w:r w:rsidRPr="003C0E55">
              <w:rPr>
                <w:rFonts w:ascii="Arial" w:eastAsia="Calibri" w:hAnsi="Arial" w:cs="Arial"/>
                <w:bCs/>
                <w:lang w:val="de-DE" w:bidi="he-IL"/>
              </w:rPr>
              <w:t xml:space="preserve"> Supervision capacity:</w:t>
            </w:r>
          </w:p>
          <w:p w14:paraId="48C29EBC" w14:textId="626FFF5F" w:rsidR="00F514B8" w:rsidRPr="003C0E55" w:rsidRDefault="00F53892" w:rsidP="00F53892">
            <w:pPr>
              <w:pStyle w:val="ListParagraph"/>
              <w:numPr>
                <w:ilvl w:val="0"/>
                <w:numId w:val="16"/>
              </w:numPr>
              <w:spacing w:after="0" w:line="240" w:lineRule="auto"/>
              <w:rPr>
                <w:rFonts w:ascii="Arial" w:eastAsia="Calibri" w:hAnsi="Arial" w:cs="Arial"/>
                <w:bCs/>
                <w:lang w:val="de-DE" w:bidi="he-IL"/>
              </w:rPr>
            </w:pPr>
            <w:r w:rsidRPr="003C0E55">
              <w:rPr>
                <w:rFonts w:ascii="Arial" w:eastAsia="Calibri" w:hAnsi="Arial" w:cs="Arial"/>
                <w:bCs/>
                <w:lang w:val="de-DE" w:bidi="he-IL"/>
              </w:rPr>
              <w:t xml:space="preserve">MPhil: </w:t>
            </w:r>
            <w:r w:rsidR="00A514A3">
              <w:rPr>
                <w:rFonts w:ascii="Arial" w:eastAsia="Calibri" w:hAnsi="Arial" w:cs="Arial"/>
                <w:bCs/>
                <w:lang w:val="de-DE" w:bidi="he-IL"/>
              </w:rPr>
              <w:t>0</w:t>
            </w:r>
          </w:p>
          <w:p w14:paraId="27315FA2" w14:textId="373317A8" w:rsidR="00F53892" w:rsidRPr="003C0E55" w:rsidRDefault="00F53892" w:rsidP="00F53892">
            <w:pPr>
              <w:pStyle w:val="ListParagraph"/>
              <w:numPr>
                <w:ilvl w:val="0"/>
                <w:numId w:val="16"/>
              </w:numPr>
              <w:spacing w:after="0" w:line="240" w:lineRule="auto"/>
              <w:rPr>
                <w:rFonts w:ascii="Arial" w:eastAsia="Calibri" w:hAnsi="Arial" w:cs="Arial"/>
                <w:bCs/>
                <w:lang w:val="de-DE" w:bidi="he-IL"/>
              </w:rPr>
            </w:pPr>
            <w:r w:rsidRPr="003C0E55">
              <w:rPr>
                <w:rFonts w:ascii="Arial" w:eastAsia="Calibri" w:hAnsi="Arial" w:cs="Arial"/>
                <w:bCs/>
                <w:lang w:val="de-DE" w:bidi="he-IL"/>
              </w:rPr>
              <w:t xml:space="preserve">PhD: </w:t>
            </w:r>
            <w:r w:rsidR="00A514A3">
              <w:rPr>
                <w:rFonts w:ascii="Arial" w:eastAsia="Calibri" w:hAnsi="Arial" w:cs="Arial"/>
                <w:bCs/>
                <w:lang w:val="de-DE" w:bidi="he-IL"/>
              </w:rPr>
              <w:t>0</w:t>
            </w:r>
          </w:p>
          <w:p w14:paraId="19A9FB15" w14:textId="77777777" w:rsidR="003C6EC8" w:rsidRPr="003C6EC8" w:rsidRDefault="003C6EC8" w:rsidP="003C6EC8">
            <w:pPr>
              <w:spacing w:after="0" w:line="240" w:lineRule="auto"/>
              <w:jc w:val="both"/>
              <w:rPr>
                <w:rFonts w:ascii="Arial" w:eastAsia="Calibri" w:hAnsi="Arial" w:cs="Arial"/>
                <w:bCs/>
                <w:lang w:val="en-ZA" w:bidi="he-IL"/>
              </w:rPr>
            </w:pPr>
          </w:p>
        </w:tc>
        <w:tc>
          <w:tcPr>
            <w:tcW w:w="5465" w:type="dxa"/>
            <w:shd w:val="clear" w:color="auto" w:fill="auto"/>
          </w:tcPr>
          <w:p w14:paraId="29120436"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Charles Nyoka is an Associate Professor in the </w:t>
            </w:r>
            <w:r w:rsidRPr="003C6EC8">
              <w:rPr>
                <w:rFonts w:ascii="Arial" w:eastAsia="Calibri" w:hAnsi="Arial" w:cs="Arial"/>
                <w:bCs/>
                <w:lang w:val="en-ZA" w:bidi="he-IL"/>
              </w:rPr>
              <w:t>Department of Finance, Risk Management and Banking.</w:t>
            </w:r>
            <w:r w:rsidRPr="003C6EC8">
              <w:rPr>
                <w:rFonts w:ascii="Arial" w:eastAsia="Calibri" w:hAnsi="Arial" w:cs="Arial"/>
                <w:lang w:val="en-ZA" w:bidi="he-IL"/>
              </w:rPr>
              <w:t xml:space="preserve"> He holds a PhD in the field of banking. His research areas of interest include banking, risk management and corporate governance.</w:t>
            </w:r>
          </w:p>
        </w:tc>
      </w:tr>
      <w:tr w:rsidR="00211EFD" w:rsidRPr="003C6EC8" w14:paraId="2DA840B7" w14:textId="77777777" w:rsidTr="00920457">
        <w:trPr>
          <w:trHeight w:val="699"/>
        </w:trPr>
        <w:tc>
          <w:tcPr>
            <w:tcW w:w="3823" w:type="dxa"/>
            <w:gridSpan w:val="3"/>
            <w:shd w:val="clear" w:color="auto" w:fill="auto"/>
          </w:tcPr>
          <w:p w14:paraId="48363067" w14:textId="4E5A98DF" w:rsidR="00211EFD" w:rsidRPr="003C6EC8" w:rsidRDefault="00211EFD" w:rsidP="00211EFD">
            <w:pPr>
              <w:spacing w:after="0" w:line="240" w:lineRule="auto"/>
              <w:jc w:val="both"/>
              <w:rPr>
                <w:rFonts w:ascii="Arial" w:eastAsia="Calibri" w:hAnsi="Arial" w:cs="Arial"/>
                <w:b/>
                <w:bCs/>
                <w:lang w:val="en-ZA" w:bidi="he-IL"/>
              </w:rPr>
            </w:pPr>
            <w:r>
              <w:rPr>
                <w:rFonts w:ascii="Arial" w:eastAsia="Calibri" w:hAnsi="Arial" w:cs="Arial"/>
                <w:b/>
                <w:bCs/>
                <w:lang w:val="en-ZA" w:bidi="he-IL"/>
              </w:rPr>
              <w:lastRenderedPageBreak/>
              <w:t>Dr Ntwanano Jethro Godi</w:t>
            </w:r>
          </w:p>
          <w:p w14:paraId="61EBC099" w14:textId="4825C0A3" w:rsidR="00211EFD" w:rsidRPr="003C6EC8" w:rsidRDefault="00211EFD" w:rsidP="00211EFD">
            <w:pPr>
              <w:spacing w:after="0" w:line="240" w:lineRule="auto"/>
              <w:jc w:val="both"/>
              <w:rPr>
                <w:rFonts w:ascii="Arial" w:eastAsia="Calibri" w:hAnsi="Arial" w:cs="Arial"/>
                <w:bCs/>
                <w:lang w:val="en-ZA" w:bidi="he-IL"/>
              </w:rPr>
            </w:pPr>
            <w:r w:rsidRPr="003C6EC8">
              <w:rPr>
                <w:rFonts w:ascii="Arial" w:eastAsia="Calibri" w:hAnsi="Arial" w:cs="Arial"/>
                <w:bCs/>
                <w:lang w:val="en-ZA" w:bidi="he-IL"/>
              </w:rPr>
              <w:t>Office: NSR 5-1</w:t>
            </w:r>
            <w:r w:rsidR="0022431E">
              <w:rPr>
                <w:rFonts w:ascii="Arial" w:eastAsia="Calibri" w:hAnsi="Arial" w:cs="Arial"/>
                <w:bCs/>
                <w:lang w:val="en-ZA" w:bidi="he-IL"/>
              </w:rPr>
              <w:t>20</w:t>
            </w:r>
          </w:p>
          <w:p w14:paraId="2C489DFA" w14:textId="3D4255AB" w:rsidR="00211EFD" w:rsidRDefault="00211EFD" w:rsidP="00211EFD">
            <w:pPr>
              <w:spacing w:after="0" w:line="240" w:lineRule="auto"/>
              <w:jc w:val="both"/>
              <w:rPr>
                <w:rFonts w:ascii="Arial" w:eastAsia="Calibri" w:hAnsi="Arial" w:cs="Arial"/>
                <w:bCs/>
                <w:color w:val="0000FF"/>
                <w:u w:val="single"/>
                <w:lang w:val="en-ZA" w:bidi="he-IL"/>
              </w:rPr>
            </w:pPr>
            <w:r w:rsidRPr="003C6EC8">
              <w:rPr>
                <w:rFonts w:ascii="Arial" w:eastAsia="Calibri" w:hAnsi="Arial" w:cs="Arial"/>
                <w:bCs/>
                <w:lang w:val="en-ZA" w:bidi="he-IL"/>
              </w:rPr>
              <w:t xml:space="preserve">Email: </w:t>
            </w:r>
            <w:hyperlink r:id="rId13" w:history="1">
              <w:r w:rsidR="00913D00" w:rsidRPr="009E6BD7">
                <w:rPr>
                  <w:rStyle w:val="Hyperlink"/>
                  <w:rFonts w:ascii="Arial" w:eastAsia="Calibri" w:hAnsi="Arial" w:cs="Arial"/>
                  <w:bCs/>
                  <w:lang w:val="en-ZA" w:bidi="he-IL"/>
                </w:rPr>
                <w:t>godinj@unisa.ac.za</w:t>
              </w:r>
            </w:hyperlink>
          </w:p>
          <w:p w14:paraId="4BF00D23" w14:textId="724C6359" w:rsidR="00922CC3" w:rsidRPr="00340587" w:rsidRDefault="00922CC3" w:rsidP="00211EFD">
            <w:pPr>
              <w:spacing w:after="0" w:line="240" w:lineRule="auto"/>
              <w:jc w:val="both"/>
              <w:rPr>
                <w:rFonts w:ascii="Arial" w:eastAsia="Calibri" w:hAnsi="Arial" w:cs="Arial"/>
                <w:bCs/>
                <w:color w:val="0000FF"/>
                <w:lang w:val="en-ZA" w:bidi="he-IL"/>
              </w:rPr>
            </w:pPr>
            <w:r w:rsidRPr="00A92B0C">
              <w:rPr>
                <w:rFonts w:ascii="Arial" w:eastAsia="Calibri" w:hAnsi="Arial" w:cs="Arial"/>
                <w:bCs/>
                <w:lang w:val="en-ZA" w:bidi="he-IL"/>
              </w:rPr>
              <w:t>ORCID</w:t>
            </w:r>
            <w:r w:rsidR="00340587" w:rsidRPr="00A92B0C">
              <w:rPr>
                <w:rFonts w:ascii="Arial" w:eastAsia="Calibri" w:hAnsi="Arial" w:cs="Arial"/>
                <w:bCs/>
                <w:lang w:val="en-ZA" w:bidi="he-IL"/>
              </w:rPr>
              <w:t>:</w:t>
            </w:r>
            <w:r w:rsidR="00340587" w:rsidRPr="00340587">
              <w:rPr>
                <w:rFonts w:ascii="Arial" w:eastAsia="Calibri" w:hAnsi="Arial" w:cs="Arial"/>
                <w:bCs/>
                <w:color w:val="0000FF"/>
                <w:lang w:val="en-ZA" w:bidi="he-IL"/>
              </w:rPr>
              <w:t xml:space="preserve"> </w:t>
            </w:r>
            <w:hyperlink r:id="rId14" w:history="1">
              <w:r w:rsidR="00A92B0C" w:rsidRPr="009E6BD7">
                <w:rPr>
                  <w:rStyle w:val="Hyperlink"/>
                  <w:rFonts w:ascii="Arial" w:eastAsia="Calibri" w:hAnsi="Arial" w:cs="Arial"/>
                  <w:bCs/>
                  <w:lang w:val="en-ZA" w:bidi="he-IL"/>
                </w:rPr>
                <w:t>https://orcid.org/0000-0001-5871-8507</w:t>
              </w:r>
            </w:hyperlink>
            <w:r w:rsidR="00A92B0C">
              <w:rPr>
                <w:rFonts w:ascii="Arial" w:eastAsia="Calibri" w:hAnsi="Arial" w:cs="Arial"/>
                <w:bCs/>
                <w:color w:val="0000FF"/>
                <w:lang w:val="en-ZA" w:bidi="he-IL"/>
              </w:rPr>
              <w:t xml:space="preserve"> </w:t>
            </w:r>
          </w:p>
          <w:p w14:paraId="78E144FA" w14:textId="77777777" w:rsidR="00211EFD" w:rsidRPr="00BD087B" w:rsidRDefault="00211EFD" w:rsidP="00211EFD">
            <w:pPr>
              <w:spacing w:after="0" w:line="240" w:lineRule="auto"/>
              <w:jc w:val="both"/>
              <w:rPr>
                <w:rFonts w:ascii="Arial" w:eastAsia="Calibri" w:hAnsi="Arial" w:cs="Arial"/>
                <w:bCs/>
                <w:color w:val="0000FF"/>
                <w:u w:val="single"/>
                <w:lang w:val="en-ZA" w:bidi="he-IL"/>
              </w:rPr>
            </w:pPr>
          </w:p>
          <w:p w14:paraId="75201DC2" w14:textId="77777777" w:rsidR="00211EFD" w:rsidRPr="003C0E55" w:rsidRDefault="00211EFD" w:rsidP="00211EFD">
            <w:pPr>
              <w:spacing w:after="0" w:line="240" w:lineRule="auto"/>
              <w:rPr>
                <w:rFonts w:ascii="Arial" w:eastAsia="Calibri" w:hAnsi="Arial" w:cs="Arial"/>
                <w:bCs/>
                <w:lang w:val="de-DE" w:bidi="he-IL"/>
              </w:rPr>
            </w:pPr>
            <w:r w:rsidRPr="003C0E55">
              <w:rPr>
                <w:rFonts w:ascii="Arial" w:eastAsia="Calibri" w:hAnsi="Arial" w:cs="Arial"/>
                <w:bCs/>
                <w:lang w:val="de-DE" w:bidi="he-IL"/>
              </w:rPr>
              <w:t>Niche areas:</w:t>
            </w:r>
          </w:p>
          <w:p w14:paraId="6C228DE4" w14:textId="3EBBD614" w:rsidR="00211EFD" w:rsidRPr="003C0E55" w:rsidRDefault="00211EFD" w:rsidP="00211EFD">
            <w:pPr>
              <w:numPr>
                <w:ilvl w:val="0"/>
                <w:numId w:val="10"/>
              </w:numPr>
              <w:spacing w:after="0" w:line="240" w:lineRule="auto"/>
              <w:contextualSpacing/>
              <w:jc w:val="both"/>
              <w:rPr>
                <w:rFonts w:ascii="Arial" w:eastAsia="Calibri" w:hAnsi="Arial" w:cs="Arial"/>
                <w:bCs/>
                <w:lang w:val="en-ZA" w:bidi="he-IL"/>
              </w:rPr>
            </w:pPr>
            <w:r w:rsidRPr="003C0E55">
              <w:rPr>
                <w:rFonts w:ascii="Arial" w:eastAsia="Calibri" w:hAnsi="Arial" w:cs="Arial"/>
                <w:bCs/>
                <w:lang w:val="de-DE" w:bidi="he-IL"/>
              </w:rPr>
              <w:t xml:space="preserve">Contemporary Issues in </w:t>
            </w:r>
            <w:r w:rsidR="006F0541">
              <w:rPr>
                <w:rFonts w:ascii="Arial" w:eastAsia="Calibri" w:hAnsi="Arial" w:cs="Arial"/>
                <w:bCs/>
                <w:lang w:val="de-DE" w:bidi="he-IL"/>
              </w:rPr>
              <w:t>Insurance</w:t>
            </w:r>
            <w:r w:rsidRPr="003C0E55">
              <w:rPr>
                <w:rFonts w:ascii="Arial" w:eastAsia="Calibri" w:hAnsi="Arial" w:cs="Arial"/>
                <w:bCs/>
                <w:lang w:val="de-DE" w:bidi="he-IL"/>
              </w:rPr>
              <w:t xml:space="preserve"> Research</w:t>
            </w:r>
          </w:p>
          <w:p w14:paraId="04AA4BC2" w14:textId="4682B8E8" w:rsidR="00211EFD" w:rsidRPr="003C0E55" w:rsidRDefault="004902C6" w:rsidP="00211EFD">
            <w:pPr>
              <w:numPr>
                <w:ilvl w:val="0"/>
                <w:numId w:val="10"/>
              </w:numPr>
              <w:spacing w:after="0" w:line="240" w:lineRule="auto"/>
              <w:contextualSpacing/>
              <w:jc w:val="both"/>
              <w:rPr>
                <w:rFonts w:ascii="Arial" w:eastAsia="Calibri" w:hAnsi="Arial" w:cs="Arial"/>
                <w:bCs/>
                <w:lang w:val="en-ZA" w:bidi="he-IL"/>
              </w:rPr>
            </w:pPr>
            <w:r>
              <w:rPr>
                <w:rFonts w:ascii="Arial" w:eastAsia="Calibri" w:hAnsi="Arial" w:cs="Arial"/>
                <w:bCs/>
                <w:lang w:val="en-ZA" w:bidi="he-IL"/>
              </w:rPr>
              <w:t>Risk Management</w:t>
            </w:r>
          </w:p>
          <w:p w14:paraId="1429028F" w14:textId="77777777" w:rsidR="00211EFD" w:rsidRPr="003C0E55" w:rsidRDefault="00211EFD" w:rsidP="00211EFD">
            <w:pPr>
              <w:spacing w:after="0" w:line="240" w:lineRule="auto"/>
              <w:contextualSpacing/>
              <w:rPr>
                <w:rFonts w:ascii="Arial" w:eastAsia="Calibri" w:hAnsi="Arial" w:cs="Arial"/>
                <w:bCs/>
                <w:lang w:val="de-DE" w:bidi="he-IL"/>
              </w:rPr>
            </w:pPr>
            <w:r w:rsidRPr="003C0E55">
              <w:rPr>
                <w:rFonts w:ascii="Arial" w:eastAsia="Calibri" w:hAnsi="Arial" w:cs="Arial"/>
                <w:bCs/>
                <w:lang w:val="de-DE" w:bidi="he-IL"/>
              </w:rPr>
              <w:t>202</w:t>
            </w:r>
            <w:r>
              <w:rPr>
                <w:rFonts w:ascii="Arial" w:eastAsia="Calibri" w:hAnsi="Arial" w:cs="Arial"/>
                <w:bCs/>
                <w:lang w:val="de-DE" w:bidi="he-IL"/>
              </w:rPr>
              <w:t>4</w:t>
            </w:r>
            <w:r w:rsidRPr="003C0E55">
              <w:rPr>
                <w:rFonts w:ascii="Arial" w:eastAsia="Calibri" w:hAnsi="Arial" w:cs="Arial"/>
                <w:bCs/>
                <w:lang w:val="de-DE" w:bidi="he-IL"/>
              </w:rPr>
              <w:t xml:space="preserve"> Supervision capacity:</w:t>
            </w:r>
          </w:p>
          <w:p w14:paraId="0453DA74" w14:textId="6A8383F7" w:rsidR="00211EFD" w:rsidRPr="003C0E55" w:rsidRDefault="00211EFD" w:rsidP="00211EFD">
            <w:pPr>
              <w:pStyle w:val="ListParagraph"/>
              <w:numPr>
                <w:ilvl w:val="0"/>
                <w:numId w:val="16"/>
              </w:numPr>
              <w:spacing w:after="0" w:line="240" w:lineRule="auto"/>
              <w:rPr>
                <w:rFonts w:ascii="Arial" w:eastAsia="Calibri" w:hAnsi="Arial" w:cs="Arial"/>
                <w:bCs/>
                <w:lang w:val="de-DE" w:bidi="he-IL"/>
              </w:rPr>
            </w:pPr>
            <w:r w:rsidRPr="003C0E55">
              <w:rPr>
                <w:rFonts w:ascii="Arial" w:eastAsia="Calibri" w:hAnsi="Arial" w:cs="Arial"/>
                <w:bCs/>
                <w:lang w:val="de-DE" w:bidi="he-IL"/>
              </w:rPr>
              <w:t xml:space="preserve">MPhil: </w:t>
            </w:r>
            <w:r w:rsidR="009147CF">
              <w:rPr>
                <w:rFonts w:ascii="Arial" w:eastAsia="Calibri" w:hAnsi="Arial" w:cs="Arial"/>
                <w:bCs/>
                <w:lang w:val="de-DE" w:bidi="he-IL"/>
              </w:rPr>
              <w:t>2</w:t>
            </w:r>
          </w:p>
          <w:p w14:paraId="1FF057F4" w14:textId="5E8FF6F4" w:rsidR="00211EFD" w:rsidRPr="003C0E55" w:rsidRDefault="00211EFD" w:rsidP="00211EFD">
            <w:pPr>
              <w:pStyle w:val="ListParagraph"/>
              <w:numPr>
                <w:ilvl w:val="0"/>
                <w:numId w:val="16"/>
              </w:numPr>
              <w:spacing w:after="0" w:line="240" w:lineRule="auto"/>
              <w:rPr>
                <w:rFonts w:ascii="Arial" w:eastAsia="Calibri" w:hAnsi="Arial" w:cs="Arial"/>
                <w:bCs/>
                <w:lang w:val="de-DE" w:bidi="he-IL"/>
              </w:rPr>
            </w:pPr>
            <w:r w:rsidRPr="003C0E55">
              <w:rPr>
                <w:rFonts w:ascii="Arial" w:eastAsia="Calibri" w:hAnsi="Arial" w:cs="Arial"/>
                <w:bCs/>
                <w:lang w:val="de-DE" w:bidi="he-IL"/>
              </w:rPr>
              <w:t xml:space="preserve">PhD: </w:t>
            </w:r>
            <w:r w:rsidR="009147CF">
              <w:rPr>
                <w:rFonts w:ascii="Arial" w:eastAsia="Calibri" w:hAnsi="Arial" w:cs="Arial"/>
                <w:bCs/>
                <w:lang w:val="de-DE" w:bidi="he-IL"/>
              </w:rPr>
              <w:t>1</w:t>
            </w:r>
          </w:p>
          <w:p w14:paraId="105B5F08" w14:textId="77777777" w:rsidR="00211EFD" w:rsidRPr="003C6EC8" w:rsidRDefault="00211EFD" w:rsidP="003C6EC8">
            <w:pPr>
              <w:spacing w:after="0" w:line="240" w:lineRule="auto"/>
              <w:jc w:val="both"/>
              <w:rPr>
                <w:rFonts w:ascii="Arial" w:eastAsia="Calibri" w:hAnsi="Arial" w:cs="Arial"/>
                <w:b/>
                <w:bCs/>
                <w:lang w:val="en-ZA" w:bidi="he-IL"/>
              </w:rPr>
            </w:pPr>
          </w:p>
        </w:tc>
        <w:tc>
          <w:tcPr>
            <w:tcW w:w="5465" w:type="dxa"/>
            <w:shd w:val="clear" w:color="auto" w:fill="auto"/>
          </w:tcPr>
          <w:p w14:paraId="1C596C9B" w14:textId="553A4BEF" w:rsidR="0079188C" w:rsidRPr="003C6EC8" w:rsidRDefault="00091DC9" w:rsidP="0079188C">
            <w:pPr>
              <w:spacing w:after="0" w:line="240" w:lineRule="auto"/>
              <w:jc w:val="both"/>
              <w:rPr>
                <w:rFonts w:ascii="Arial" w:eastAsia="Calibri" w:hAnsi="Arial" w:cs="Arial"/>
                <w:lang w:val="en-ZA" w:bidi="he-IL"/>
              </w:rPr>
            </w:pPr>
            <w:r>
              <w:rPr>
                <w:rFonts w:ascii="Arial" w:eastAsia="Calibri" w:hAnsi="Arial" w:cs="Arial"/>
                <w:lang w:val="en-ZA" w:bidi="he-IL"/>
              </w:rPr>
              <w:t xml:space="preserve">Jethro Godi is the Chair of the  Department of Finance, Risk Management and Banking. </w:t>
            </w:r>
            <w:r w:rsidR="00D97097">
              <w:rPr>
                <w:rFonts w:ascii="Arial" w:eastAsia="Calibri" w:hAnsi="Arial" w:cs="Arial"/>
                <w:lang w:val="en-ZA" w:bidi="he-IL"/>
              </w:rPr>
              <w:t>He is a holder of a PhD in degree obtained from Unisa</w:t>
            </w:r>
            <w:r w:rsidR="00272128">
              <w:rPr>
                <w:rFonts w:ascii="Arial" w:eastAsia="Calibri" w:hAnsi="Arial" w:cs="Arial"/>
                <w:lang w:val="en-ZA" w:bidi="he-IL"/>
              </w:rPr>
              <w:t xml:space="preserve">. He has published in international journals on </w:t>
            </w:r>
            <w:r w:rsidR="003C6201">
              <w:rPr>
                <w:rFonts w:ascii="Arial" w:eastAsia="Calibri" w:hAnsi="Arial" w:cs="Arial"/>
                <w:lang w:val="en-ZA" w:bidi="he-IL"/>
              </w:rPr>
              <w:t>risk</w:t>
            </w:r>
            <w:r w:rsidR="00EC5327">
              <w:rPr>
                <w:rFonts w:ascii="Arial" w:eastAsia="Calibri" w:hAnsi="Arial" w:cs="Arial"/>
                <w:lang w:val="en-ZA" w:bidi="he-IL"/>
              </w:rPr>
              <w:t xml:space="preserve"> management</w:t>
            </w:r>
            <w:r w:rsidR="00357C00">
              <w:rPr>
                <w:rFonts w:ascii="Arial" w:eastAsia="Calibri" w:hAnsi="Arial" w:cs="Arial"/>
                <w:lang w:val="en-ZA" w:bidi="he-IL"/>
              </w:rPr>
              <w:t xml:space="preserve"> as well as financial market development topics. Jethro </w:t>
            </w:r>
            <w:r w:rsidR="0072242C">
              <w:rPr>
                <w:rFonts w:ascii="Arial" w:eastAsia="Calibri" w:hAnsi="Arial" w:cs="Arial"/>
                <w:lang w:val="en-ZA" w:bidi="he-IL"/>
              </w:rPr>
              <w:t>is</w:t>
            </w:r>
            <w:r w:rsidR="00357C00">
              <w:rPr>
                <w:rFonts w:ascii="Arial" w:eastAsia="Calibri" w:hAnsi="Arial" w:cs="Arial"/>
                <w:lang w:val="en-ZA" w:bidi="he-IL"/>
              </w:rPr>
              <w:t xml:space="preserve"> also</w:t>
            </w:r>
            <w:r w:rsidR="0072242C">
              <w:rPr>
                <w:rFonts w:ascii="Arial" w:eastAsia="Calibri" w:hAnsi="Arial" w:cs="Arial"/>
                <w:lang w:val="en-ZA" w:bidi="he-IL"/>
              </w:rPr>
              <w:t xml:space="preserve"> currently </w:t>
            </w:r>
            <w:r w:rsidR="00357C00">
              <w:rPr>
                <w:rFonts w:ascii="Arial" w:eastAsia="Calibri" w:hAnsi="Arial" w:cs="Arial"/>
                <w:lang w:val="en-ZA" w:bidi="he-IL"/>
              </w:rPr>
              <w:t xml:space="preserve"> supervis</w:t>
            </w:r>
            <w:r w:rsidR="0072242C">
              <w:rPr>
                <w:rFonts w:ascii="Arial" w:eastAsia="Calibri" w:hAnsi="Arial" w:cs="Arial"/>
                <w:lang w:val="en-ZA" w:bidi="he-IL"/>
              </w:rPr>
              <w:t>ing</w:t>
            </w:r>
            <w:r w:rsidR="00357C00">
              <w:rPr>
                <w:rFonts w:ascii="Arial" w:eastAsia="Calibri" w:hAnsi="Arial" w:cs="Arial"/>
                <w:lang w:val="en-ZA" w:bidi="he-IL"/>
              </w:rPr>
              <w:t xml:space="preserve"> </w:t>
            </w:r>
            <w:r w:rsidR="0072242C">
              <w:rPr>
                <w:rFonts w:ascii="Arial" w:eastAsia="Calibri" w:hAnsi="Arial" w:cs="Arial"/>
                <w:lang w:val="en-ZA" w:bidi="he-IL"/>
              </w:rPr>
              <w:t xml:space="preserve"> </w:t>
            </w:r>
            <w:proofErr w:type="gramStart"/>
            <w:r w:rsidR="0072242C">
              <w:rPr>
                <w:rFonts w:ascii="Arial" w:eastAsia="Calibri" w:hAnsi="Arial" w:cs="Arial"/>
                <w:lang w:val="en-ZA" w:bidi="he-IL"/>
              </w:rPr>
              <w:t>a number of</w:t>
            </w:r>
            <w:proofErr w:type="gramEnd"/>
            <w:r w:rsidR="0072242C">
              <w:rPr>
                <w:rFonts w:ascii="Arial" w:eastAsia="Calibri" w:hAnsi="Arial" w:cs="Arial"/>
                <w:lang w:val="en-ZA" w:bidi="he-IL"/>
              </w:rPr>
              <w:t xml:space="preserve"> Masters and PhD students.</w:t>
            </w:r>
            <w:r w:rsidR="0079188C">
              <w:rPr>
                <w:rFonts w:ascii="Arial" w:eastAsia="Calibri" w:hAnsi="Arial" w:cs="Arial"/>
                <w:lang w:val="en-ZA" w:bidi="he-IL"/>
              </w:rPr>
              <w:t xml:space="preserve"> </w:t>
            </w:r>
            <w:r w:rsidR="0079188C" w:rsidRPr="0079188C">
              <w:rPr>
                <w:rFonts w:ascii="Arial" w:eastAsia="Calibri" w:hAnsi="Arial" w:cs="Arial"/>
                <w:lang w:val="en-ZA" w:bidi="he-IL"/>
              </w:rPr>
              <w:t xml:space="preserve">Proposed studies </w:t>
            </w:r>
            <w:r w:rsidR="0079188C">
              <w:rPr>
                <w:rFonts w:ascii="Arial" w:eastAsia="Calibri" w:hAnsi="Arial" w:cs="Arial"/>
                <w:lang w:val="en-ZA" w:bidi="he-IL"/>
              </w:rPr>
              <w:t>could</w:t>
            </w:r>
            <w:r w:rsidR="0079188C" w:rsidRPr="0079188C">
              <w:rPr>
                <w:rFonts w:ascii="Arial" w:eastAsia="Calibri" w:hAnsi="Arial" w:cs="Arial"/>
                <w:lang w:val="en-ZA" w:bidi="he-IL"/>
              </w:rPr>
              <w:t xml:space="preserve"> be </w:t>
            </w:r>
            <w:r w:rsidR="0079188C">
              <w:rPr>
                <w:rFonts w:ascii="Arial" w:eastAsia="Calibri" w:hAnsi="Arial" w:cs="Arial"/>
                <w:lang w:val="en-ZA" w:bidi="he-IL"/>
              </w:rPr>
              <w:t xml:space="preserve">either </w:t>
            </w:r>
            <w:r w:rsidR="0079188C" w:rsidRPr="0079188C">
              <w:rPr>
                <w:rFonts w:ascii="Arial" w:eastAsia="Calibri" w:hAnsi="Arial" w:cs="Arial"/>
                <w:lang w:val="en-ZA" w:bidi="he-IL"/>
              </w:rPr>
              <w:t>quantitative</w:t>
            </w:r>
            <w:r w:rsidR="0079188C">
              <w:rPr>
                <w:rFonts w:ascii="Arial" w:eastAsia="Calibri" w:hAnsi="Arial" w:cs="Arial"/>
                <w:lang w:val="en-ZA" w:bidi="he-IL"/>
              </w:rPr>
              <w:t xml:space="preserve"> or qualitative </w:t>
            </w:r>
            <w:r w:rsidR="0079188C" w:rsidRPr="0079188C">
              <w:rPr>
                <w:rFonts w:ascii="Arial" w:eastAsia="Calibri" w:hAnsi="Arial" w:cs="Arial"/>
                <w:lang w:val="en-ZA" w:bidi="he-IL"/>
              </w:rPr>
              <w:t xml:space="preserve"> in nature.</w:t>
            </w:r>
          </w:p>
        </w:tc>
      </w:tr>
      <w:tr w:rsidR="00F673F4" w:rsidRPr="003C6EC8" w14:paraId="597D1C59" w14:textId="77777777" w:rsidTr="00920457">
        <w:trPr>
          <w:trHeight w:val="699"/>
        </w:trPr>
        <w:tc>
          <w:tcPr>
            <w:tcW w:w="3823" w:type="dxa"/>
            <w:gridSpan w:val="3"/>
            <w:shd w:val="clear" w:color="auto" w:fill="auto"/>
          </w:tcPr>
          <w:p w14:paraId="12468727" w14:textId="674BA899" w:rsidR="00953B04" w:rsidRPr="003C6EC8" w:rsidRDefault="005B7868" w:rsidP="003C6EC8">
            <w:pPr>
              <w:spacing w:after="0" w:line="240" w:lineRule="auto"/>
              <w:jc w:val="both"/>
              <w:rPr>
                <w:rFonts w:ascii="Arial" w:eastAsia="Calibri" w:hAnsi="Arial" w:cs="Arial"/>
                <w:b/>
                <w:bCs/>
                <w:lang w:val="en-ZA" w:bidi="he-IL"/>
              </w:rPr>
            </w:pPr>
            <w:r>
              <w:rPr>
                <w:rFonts w:ascii="Arial" w:eastAsia="Calibri" w:hAnsi="Arial" w:cs="Arial"/>
                <w:b/>
                <w:bCs/>
                <w:lang w:val="en-ZA" w:bidi="he-IL"/>
              </w:rPr>
              <w:t xml:space="preserve">Total Capacity </w:t>
            </w:r>
            <w:r w:rsidR="004B4191">
              <w:rPr>
                <w:rFonts w:ascii="Arial" w:eastAsia="Calibri" w:hAnsi="Arial" w:cs="Arial"/>
                <w:b/>
                <w:bCs/>
                <w:lang w:val="en-ZA" w:bidi="he-IL"/>
              </w:rPr>
              <w:t>for 202</w:t>
            </w:r>
            <w:r w:rsidR="002A3C2A">
              <w:rPr>
                <w:rFonts w:ascii="Arial" w:eastAsia="Calibri" w:hAnsi="Arial" w:cs="Arial"/>
                <w:b/>
                <w:bCs/>
                <w:lang w:val="en-ZA" w:bidi="he-IL"/>
              </w:rPr>
              <w:t>4</w:t>
            </w:r>
          </w:p>
        </w:tc>
        <w:tc>
          <w:tcPr>
            <w:tcW w:w="5465" w:type="dxa"/>
            <w:shd w:val="clear" w:color="auto" w:fill="auto"/>
          </w:tcPr>
          <w:p w14:paraId="690D373D" w14:textId="5EB7C38B" w:rsidR="00953B04" w:rsidRDefault="004E2627" w:rsidP="003C6EC8">
            <w:pPr>
              <w:spacing w:after="0" w:line="240" w:lineRule="auto"/>
              <w:jc w:val="both"/>
              <w:rPr>
                <w:rFonts w:ascii="Arial" w:eastAsia="Calibri" w:hAnsi="Arial" w:cs="Arial"/>
                <w:lang w:val="en-ZA" w:bidi="he-IL"/>
              </w:rPr>
            </w:pPr>
            <w:r>
              <w:rPr>
                <w:rFonts w:ascii="Arial" w:eastAsia="Calibri" w:hAnsi="Arial" w:cs="Arial"/>
                <w:lang w:val="en-ZA" w:bidi="he-IL"/>
              </w:rPr>
              <w:t>5</w:t>
            </w:r>
            <w:r w:rsidR="005956B6">
              <w:rPr>
                <w:rFonts w:ascii="Arial" w:eastAsia="Calibri" w:hAnsi="Arial" w:cs="Arial"/>
                <w:lang w:val="en-ZA" w:bidi="he-IL"/>
              </w:rPr>
              <w:t xml:space="preserve"> MPhil </w:t>
            </w:r>
            <w:r w:rsidR="004B4191">
              <w:rPr>
                <w:rFonts w:ascii="Arial" w:eastAsia="Calibri" w:hAnsi="Arial" w:cs="Arial"/>
                <w:lang w:val="en-ZA" w:bidi="he-IL"/>
              </w:rPr>
              <w:t>students</w:t>
            </w:r>
          </w:p>
          <w:p w14:paraId="36BBB0DF" w14:textId="7D7FD95E" w:rsidR="004B4191" w:rsidRPr="003C6EC8" w:rsidRDefault="004E2627" w:rsidP="003C6EC8">
            <w:pPr>
              <w:spacing w:after="0" w:line="240" w:lineRule="auto"/>
              <w:jc w:val="both"/>
              <w:rPr>
                <w:rFonts w:ascii="Arial" w:eastAsia="Calibri" w:hAnsi="Arial" w:cs="Arial"/>
                <w:lang w:val="en-ZA" w:bidi="he-IL"/>
              </w:rPr>
            </w:pPr>
            <w:r>
              <w:rPr>
                <w:rFonts w:ascii="Arial" w:eastAsia="Calibri" w:hAnsi="Arial" w:cs="Arial"/>
                <w:lang w:val="en-ZA" w:bidi="he-IL"/>
              </w:rPr>
              <w:t>3</w:t>
            </w:r>
            <w:r w:rsidR="004B4191">
              <w:rPr>
                <w:rFonts w:ascii="Arial" w:eastAsia="Calibri" w:hAnsi="Arial" w:cs="Arial"/>
                <w:lang w:val="en-ZA" w:bidi="he-IL"/>
              </w:rPr>
              <w:t xml:space="preserve"> PhD students</w:t>
            </w:r>
          </w:p>
        </w:tc>
      </w:tr>
      <w:tr w:rsidR="003C6EC8" w:rsidRPr="003C6EC8" w14:paraId="6A6EB2DB" w14:textId="77777777" w:rsidTr="00920457">
        <w:trPr>
          <w:trHeight w:val="276"/>
        </w:trPr>
        <w:tc>
          <w:tcPr>
            <w:tcW w:w="3823" w:type="dxa"/>
            <w:gridSpan w:val="3"/>
            <w:shd w:val="clear" w:color="auto" w:fill="auto"/>
          </w:tcPr>
          <w:p w14:paraId="53AD52CA"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Research scope</w:t>
            </w:r>
          </w:p>
        </w:tc>
        <w:tc>
          <w:tcPr>
            <w:tcW w:w="5465" w:type="dxa"/>
            <w:shd w:val="clear" w:color="auto" w:fill="auto"/>
          </w:tcPr>
          <w:p w14:paraId="3B4DE028"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The research area is broad and covers FinTech, banking and insurance. </w:t>
            </w:r>
            <w:r w:rsidRPr="003C6EC8">
              <w:rPr>
                <w:rFonts w:ascii="Arial" w:eastAsia="Calibri" w:hAnsi="Arial" w:cs="Arial"/>
                <w:b/>
                <w:lang w:val="en-ZA" w:bidi="he-IL"/>
              </w:rPr>
              <w:t>The specific interest should be predicated on the need to address the policy syndrome, in the advancement of Africa Agenda 2063 and the attainment of the Sustainable Development Goals (SDGs) that relate to these focus areas.</w:t>
            </w:r>
            <w:r w:rsidRPr="003C6EC8">
              <w:rPr>
                <w:rFonts w:ascii="Arial" w:eastAsia="Calibri" w:hAnsi="Arial" w:cs="Arial"/>
                <w:lang w:val="en-ZA" w:bidi="he-IL"/>
              </w:rPr>
              <w:t xml:space="preserve"> Thus, studies should seek to propose workable solutions applicable to the African context. The research scope is based on quantitative analysis techniques, and entails econometric modelling, to a large extent. </w:t>
            </w:r>
          </w:p>
          <w:p w14:paraId="359D3107" w14:textId="77777777" w:rsidR="003C6EC8" w:rsidRPr="003C6EC8" w:rsidRDefault="003C6EC8" w:rsidP="003C6EC8">
            <w:pPr>
              <w:spacing w:after="0" w:line="240" w:lineRule="auto"/>
              <w:jc w:val="both"/>
              <w:rPr>
                <w:rFonts w:ascii="Arial" w:eastAsia="Calibri" w:hAnsi="Arial" w:cs="Arial"/>
                <w:lang w:val="en-ZA" w:bidi="he-IL"/>
              </w:rPr>
            </w:pPr>
          </w:p>
        </w:tc>
      </w:tr>
      <w:tr w:rsidR="003C6EC8" w:rsidRPr="003C6EC8" w14:paraId="0F4961B0" w14:textId="77777777" w:rsidTr="00920457">
        <w:trPr>
          <w:trHeight w:val="276"/>
        </w:trPr>
        <w:tc>
          <w:tcPr>
            <w:tcW w:w="3823" w:type="dxa"/>
            <w:gridSpan w:val="3"/>
            <w:shd w:val="clear" w:color="auto" w:fill="auto"/>
          </w:tcPr>
          <w:p w14:paraId="33D0692E"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 xml:space="preserve">Reading: </w:t>
            </w:r>
          </w:p>
          <w:p w14:paraId="5D5FD995"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Subject Field</w:t>
            </w:r>
          </w:p>
          <w:p w14:paraId="412B1B18" w14:textId="77777777" w:rsidR="003C6EC8" w:rsidRPr="003C6EC8" w:rsidRDefault="003C6EC8" w:rsidP="003C6EC8">
            <w:pPr>
              <w:spacing w:after="0" w:line="240" w:lineRule="auto"/>
              <w:jc w:val="both"/>
              <w:rPr>
                <w:rFonts w:ascii="Arial" w:eastAsia="Calibri" w:hAnsi="Arial" w:cs="Arial"/>
                <w:lang w:val="en-ZA" w:bidi="he-IL"/>
              </w:rPr>
            </w:pPr>
          </w:p>
        </w:tc>
        <w:tc>
          <w:tcPr>
            <w:tcW w:w="5465" w:type="dxa"/>
            <w:shd w:val="clear" w:color="auto" w:fill="auto"/>
          </w:tcPr>
          <w:p w14:paraId="2DBB4C20"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 xml:space="preserve">This is a selection of articles and/or recent books in this research focus area. </w:t>
            </w:r>
            <w:r w:rsidRPr="003C6EC8">
              <w:rPr>
                <w:rFonts w:ascii="Arial" w:eastAsia="Calibri" w:hAnsi="Arial" w:cs="Arial"/>
                <w:b/>
                <w:bCs/>
                <w:cs/>
                <w:lang w:val="en-ZA" w:bidi="he-IL"/>
              </w:rPr>
              <w:t>‎</w:t>
            </w:r>
            <w:r w:rsidRPr="003C6EC8">
              <w:rPr>
                <w:rFonts w:ascii="Arial" w:eastAsia="Calibri" w:hAnsi="Arial" w:cs="Arial"/>
                <w:b/>
                <w:bCs/>
                <w:lang w:val="en-ZA" w:bidi="he-IL"/>
              </w:rPr>
              <w:t>Further reading over and above these is essential:</w:t>
            </w:r>
          </w:p>
          <w:p w14:paraId="05642A64" w14:textId="77777777" w:rsidR="003C6EC8" w:rsidRPr="003C6EC8" w:rsidRDefault="003C6EC8" w:rsidP="003C6EC8">
            <w:pPr>
              <w:spacing w:after="0" w:line="240" w:lineRule="auto"/>
              <w:jc w:val="both"/>
              <w:rPr>
                <w:rFonts w:ascii="Arial" w:eastAsia="Calibri" w:hAnsi="Arial" w:cs="Arial"/>
                <w:b/>
                <w:bCs/>
                <w:lang w:val="en-ZA" w:bidi="he-IL"/>
              </w:rPr>
            </w:pPr>
          </w:p>
          <w:p w14:paraId="6EBAEBBB" w14:textId="77777777" w:rsidR="003C6EC8" w:rsidRPr="003C6EC8" w:rsidRDefault="003C6EC8" w:rsidP="003C6EC8">
            <w:p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 xml:space="preserve"> </w:t>
            </w:r>
          </w:p>
          <w:p w14:paraId="13F267FC" w14:textId="77777777" w:rsidR="003C6EC8" w:rsidRPr="003C6EC8" w:rsidRDefault="003C6EC8" w:rsidP="003C6EC8">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Frost, J. (2020). The economic forces driving FinTech adoption across countries. Netherlands Central Bank, Research Department</w:t>
            </w:r>
          </w:p>
          <w:p w14:paraId="558BFC8C" w14:textId="77777777" w:rsidR="003C6EC8" w:rsidRPr="003C6EC8" w:rsidRDefault="003C6EC8" w:rsidP="003C6EC8">
            <w:pPr>
              <w:numPr>
                <w:ilvl w:val="0"/>
                <w:numId w:val="8"/>
              </w:numPr>
              <w:spacing w:after="0" w:line="240" w:lineRule="auto"/>
              <w:contextualSpacing/>
              <w:jc w:val="both"/>
              <w:rPr>
                <w:rFonts w:ascii="Arial" w:eastAsia="Calibri" w:hAnsi="Arial" w:cs="Arial"/>
                <w:bCs/>
                <w:lang w:val="en-ZA" w:bidi="he-IL"/>
              </w:rPr>
            </w:pPr>
            <w:proofErr w:type="spellStart"/>
            <w:r w:rsidRPr="003C6EC8">
              <w:rPr>
                <w:rFonts w:ascii="Arial" w:eastAsia="Calibri" w:hAnsi="Arial" w:cs="Arial"/>
                <w:bCs/>
                <w:lang w:val="en-ZA" w:bidi="he-IL"/>
              </w:rPr>
              <w:t>Gomber</w:t>
            </w:r>
            <w:proofErr w:type="spellEnd"/>
            <w:r w:rsidRPr="003C6EC8">
              <w:rPr>
                <w:rFonts w:ascii="Arial" w:eastAsia="Calibri" w:hAnsi="Arial" w:cs="Arial"/>
                <w:bCs/>
                <w:lang w:val="en-ZA" w:bidi="he-IL"/>
              </w:rPr>
              <w:t xml:space="preserve">, P., Koch, J and </w:t>
            </w:r>
            <w:proofErr w:type="spellStart"/>
            <w:r w:rsidRPr="003C6EC8">
              <w:rPr>
                <w:rFonts w:ascii="Arial" w:eastAsia="Calibri" w:hAnsi="Arial" w:cs="Arial"/>
                <w:bCs/>
                <w:lang w:val="en-ZA" w:bidi="he-IL"/>
              </w:rPr>
              <w:t>Siering</w:t>
            </w:r>
            <w:proofErr w:type="spellEnd"/>
            <w:r w:rsidRPr="003C6EC8">
              <w:rPr>
                <w:rFonts w:ascii="Arial" w:eastAsia="Calibri" w:hAnsi="Arial" w:cs="Arial"/>
                <w:bCs/>
                <w:lang w:val="en-ZA" w:bidi="he-IL"/>
              </w:rPr>
              <w:t>, M. (2017). Digital Finance and FinTech: Current Research and Future Research Directions. Journal of Business Economics, 87 (5): 537-580</w:t>
            </w:r>
          </w:p>
          <w:p w14:paraId="76646411" w14:textId="77777777" w:rsidR="003C6EC8" w:rsidRPr="003C6EC8" w:rsidRDefault="003C6EC8" w:rsidP="003C6EC8">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Makina, D. (ed) (2019). Extending Financial Inclusion in Africa. Elsevier, San Diego, CA, USA</w:t>
            </w:r>
          </w:p>
          <w:p w14:paraId="045FDEE2" w14:textId="77777777" w:rsidR="003C6EC8" w:rsidRPr="003C6EC8" w:rsidRDefault="003C6EC8" w:rsidP="003C6EC8">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Mohammad, N. (2016). Research on financial services innovations: A quantitative review and future research directions. International Journal of Bank Marketing, 34 (7): 1042-1068</w:t>
            </w:r>
          </w:p>
          <w:p w14:paraId="6CF63D92" w14:textId="77777777" w:rsidR="003C6EC8" w:rsidRPr="003C6EC8" w:rsidRDefault="003C6EC8" w:rsidP="003C6EC8">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 xml:space="preserve">Sibindi, A.B. (2018). The Determinants of South African Banks’ Capital Buffers. Journal of Economics and </w:t>
            </w:r>
            <w:proofErr w:type="spellStart"/>
            <w:r w:rsidRPr="003C6EC8">
              <w:rPr>
                <w:rFonts w:ascii="Arial" w:eastAsia="Calibri" w:hAnsi="Arial" w:cs="Arial"/>
                <w:bCs/>
                <w:lang w:val="en-ZA" w:bidi="he-IL"/>
              </w:rPr>
              <w:t>Behavioral</w:t>
            </w:r>
            <w:proofErr w:type="spellEnd"/>
            <w:r w:rsidRPr="003C6EC8">
              <w:rPr>
                <w:rFonts w:ascii="Arial" w:eastAsia="Calibri" w:hAnsi="Arial" w:cs="Arial"/>
                <w:bCs/>
                <w:lang w:val="en-ZA" w:bidi="he-IL"/>
              </w:rPr>
              <w:t xml:space="preserve"> Studies, 10(1), pp.234-244.</w:t>
            </w:r>
          </w:p>
          <w:p w14:paraId="3DA4F018" w14:textId="77777777" w:rsidR="003C6EC8" w:rsidRPr="003C6EC8" w:rsidRDefault="003C6EC8" w:rsidP="003C6EC8">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lastRenderedPageBreak/>
              <w:t xml:space="preserve">Sibindi, A.B. and Makina, D. (2018). Are the determinants of </w:t>
            </w:r>
            <w:proofErr w:type="gramStart"/>
            <w:r w:rsidRPr="003C6EC8">
              <w:rPr>
                <w:rFonts w:ascii="Arial" w:eastAsia="Calibri" w:hAnsi="Arial" w:cs="Arial"/>
                <w:bCs/>
                <w:lang w:val="en-ZA" w:bidi="he-IL"/>
              </w:rPr>
              <w:t>banks’</w:t>
            </w:r>
            <w:proofErr w:type="gramEnd"/>
            <w:r w:rsidRPr="003C6EC8">
              <w:rPr>
                <w:rFonts w:ascii="Arial" w:eastAsia="Calibri" w:hAnsi="Arial" w:cs="Arial"/>
                <w:bCs/>
                <w:lang w:val="en-ZA" w:bidi="he-IL"/>
              </w:rPr>
              <w:t xml:space="preserve"> and insurers’ capital structures homogeneous? Evidence using South African data. Cogent Economics &amp; Finance, 6(1), p.1519899.</w:t>
            </w:r>
          </w:p>
          <w:p w14:paraId="7B9B8B7A" w14:textId="77777777" w:rsidR="003C6EC8" w:rsidRPr="003C6EC8" w:rsidRDefault="003C6EC8" w:rsidP="003C6EC8">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 xml:space="preserve">Wilson, J.O.S, </w:t>
            </w:r>
            <w:proofErr w:type="spellStart"/>
            <w:r w:rsidRPr="003C6EC8">
              <w:rPr>
                <w:rFonts w:ascii="Arial" w:eastAsia="Calibri" w:hAnsi="Arial" w:cs="Arial"/>
                <w:bCs/>
                <w:lang w:val="en-ZA" w:bidi="he-IL"/>
              </w:rPr>
              <w:t>Casu</w:t>
            </w:r>
            <w:proofErr w:type="spellEnd"/>
            <w:r w:rsidRPr="003C6EC8">
              <w:rPr>
                <w:rFonts w:ascii="Arial" w:eastAsia="Calibri" w:hAnsi="Arial" w:cs="Arial"/>
                <w:bCs/>
                <w:lang w:val="en-ZA" w:bidi="he-IL"/>
              </w:rPr>
              <w:t xml:space="preserve">, B., </w:t>
            </w:r>
            <w:proofErr w:type="spellStart"/>
            <w:r w:rsidRPr="003C6EC8">
              <w:rPr>
                <w:rFonts w:ascii="Arial" w:eastAsia="Calibri" w:hAnsi="Arial" w:cs="Arial"/>
                <w:bCs/>
                <w:lang w:val="en-ZA" w:bidi="he-IL"/>
              </w:rPr>
              <w:t>Girardone</w:t>
            </w:r>
            <w:proofErr w:type="spellEnd"/>
            <w:r w:rsidRPr="003C6EC8">
              <w:rPr>
                <w:rFonts w:ascii="Arial" w:eastAsia="Calibri" w:hAnsi="Arial" w:cs="Arial"/>
                <w:bCs/>
                <w:lang w:val="en-ZA" w:bidi="he-IL"/>
              </w:rPr>
              <w:t>, C. and Molyneux, P. (2009). Emerging Theses in Banking: Recent Literature and Directions for Future Research. Working Paper Series WP 07/09, Cass Business School, City University London</w:t>
            </w:r>
          </w:p>
          <w:p w14:paraId="1942C175" w14:textId="77777777" w:rsidR="003C6EC8" w:rsidRPr="003C6EC8" w:rsidRDefault="003C6EC8" w:rsidP="003C6EC8">
            <w:pPr>
              <w:numPr>
                <w:ilvl w:val="0"/>
                <w:numId w:val="8"/>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You can also visit the </w:t>
            </w:r>
            <w:hyperlink r:id="rId15" w:history="1">
              <w:r w:rsidRPr="003C6EC8">
                <w:rPr>
                  <w:rFonts w:ascii="Arial" w:eastAsia="Calibri" w:hAnsi="Arial" w:cs="Arial"/>
                  <w:color w:val="0000FF"/>
                  <w:u w:val="single"/>
                  <w:lang w:val="en-ZA" w:bidi="he-IL"/>
                </w:rPr>
                <w:t>Directory of Open Access Journals (DOAJ)</w:t>
              </w:r>
            </w:hyperlink>
            <w:r w:rsidRPr="003C6EC8">
              <w:rPr>
                <w:rFonts w:ascii="Arial" w:eastAsia="Calibri" w:hAnsi="Arial" w:cs="Arial"/>
                <w:color w:val="0000FF"/>
                <w:u w:val="single"/>
                <w:lang w:val="en-ZA" w:bidi="he-IL"/>
              </w:rPr>
              <w:t xml:space="preserve"> </w:t>
            </w:r>
            <w:r w:rsidRPr="003C6EC8">
              <w:rPr>
                <w:rFonts w:ascii="Arial" w:eastAsia="Calibri" w:hAnsi="Arial" w:cs="Arial"/>
                <w:lang w:val="en-ZA" w:bidi="he-IL"/>
              </w:rPr>
              <w:t xml:space="preserve">and </w:t>
            </w:r>
            <w:hyperlink r:id="rId16" w:history="1">
              <w:r w:rsidRPr="003C6EC8">
                <w:rPr>
                  <w:rFonts w:ascii="Arial" w:eastAsia="Calibri" w:hAnsi="Arial" w:cs="Arial"/>
                  <w:color w:val="0000FF"/>
                  <w:u w:val="single"/>
                  <w:lang w:val="en-ZA" w:bidi="he-IL"/>
                </w:rPr>
                <w:t>African Journals Online (AJOL)</w:t>
              </w:r>
            </w:hyperlink>
            <w:r w:rsidRPr="003C6EC8">
              <w:rPr>
                <w:rFonts w:ascii="Arial" w:eastAsia="Calibri" w:hAnsi="Arial" w:cs="Arial"/>
                <w:color w:val="0000FF"/>
                <w:u w:val="single"/>
                <w:lang w:val="en-ZA" w:bidi="he-IL"/>
              </w:rPr>
              <w:t xml:space="preserve"> </w:t>
            </w:r>
            <w:r w:rsidRPr="003C6EC8">
              <w:rPr>
                <w:rFonts w:ascii="Arial" w:eastAsia="Calibri" w:hAnsi="Arial" w:cs="Arial"/>
                <w:lang w:val="en-ZA" w:bidi="he-IL"/>
              </w:rPr>
              <w:t xml:space="preserve">for journal articles related to the </w:t>
            </w:r>
            <w:proofErr w:type="gramStart"/>
            <w:r w:rsidRPr="003C6EC8">
              <w:rPr>
                <w:rFonts w:ascii="Arial" w:eastAsia="Calibri" w:hAnsi="Arial" w:cs="Arial"/>
                <w:lang w:val="en-ZA" w:bidi="he-IL"/>
              </w:rPr>
              <w:t>topics</w:t>
            </w:r>
            <w:proofErr w:type="gramEnd"/>
          </w:p>
          <w:p w14:paraId="31045BFA" w14:textId="77777777" w:rsidR="003C6EC8" w:rsidRPr="003C6EC8" w:rsidRDefault="003C6EC8" w:rsidP="003C6EC8">
            <w:pPr>
              <w:spacing w:after="0" w:line="240" w:lineRule="auto"/>
              <w:ind w:left="720"/>
              <w:jc w:val="both"/>
              <w:rPr>
                <w:rFonts w:ascii="Arial" w:eastAsia="Times New Roman" w:hAnsi="Arial" w:cs="Arial"/>
                <w:lang w:val="en-ZA" w:bidi="he-IL"/>
              </w:rPr>
            </w:pPr>
          </w:p>
        </w:tc>
      </w:tr>
      <w:tr w:rsidR="003C6EC8" w:rsidRPr="003C6EC8" w14:paraId="7A00823B" w14:textId="77777777" w:rsidTr="00920457">
        <w:trPr>
          <w:trHeight w:val="276"/>
        </w:trPr>
        <w:tc>
          <w:tcPr>
            <w:tcW w:w="3823" w:type="dxa"/>
            <w:gridSpan w:val="3"/>
            <w:shd w:val="clear" w:color="auto" w:fill="auto"/>
          </w:tcPr>
          <w:p w14:paraId="6A532D8F"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Resources: Scholar community</w:t>
            </w:r>
          </w:p>
        </w:tc>
        <w:tc>
          <w:tcPr>
            <w:tcW w:w="5465" w:type="dxa"/>
            <w:shd w:val="clear" w:color="auto" w:fill="auto"/>
          </w:tcPr>
          <w:p w14:paraId="1407C847" w14:textId="77777777" w:rsidR="003C6EC8" w:rsidRPr="003C6EC8" w:rsidRDefault="003C6EC8" w:rsidP="003C6EC8">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International Conference on Financial Services (IFS), hosted every 2 years by the University of South Africa (UNISA)</w:t>
            </w:r>
          </w:p>
          <w:p w14:paraId="099B12E7" w14:textId="77777777" w:rsidR="003C6EC8" w:rsidRPr="003C6EC8" w:rsidRDefault="003C6EC8" w:rsidP="003C6EC8">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African Finance Association (annual conference in May each year, hosted by the </w:t>
            </w:r>
            <w:proofErr w:type="spellStart"/>
            <w:r w:rsidRPr="003C6EC8">
              <w:rPr>
                <w:rFonts w:ascii="Arial" w:eastAsia="Calibri" w:hAnsi="Arial" w:cs="Arial"/>
                <w:lang w:val="en-ZA" w:bidi="he-IL"/>
              </w:rPr>
              <w:t>AfricaGrowth</w:t>
            </w:r>
            <w:proofErr w:type="spellEnd"/>
            <w:r w:rsidRPr="003C6EC8">
              <w:rPr>
                <w:rFonts w:ascii="Arial" w:eastAsia="Calibri" w:hAnsi="Arial" w:cs="Arial"/>
                <w:lang w:val="en-ZA" w:bidi="he-IL"/>
              </w:rPr>
              <w:t xml:space="preserve"> Institute).</w:t>
            </w:r>
            <w:hyperlink r:id="rId17" w:history="1">
              <w:r w:rsidRPr="003C6EC8">
                <w:rPr>
                  <w:rFonts w:ascii="Arial" w:eastAsia="Calibri" w:hAnsi="Arial" w:cs="Arial"/>
                  <w:color w:val="0000FF"/>
                  <w:u w:val="single"/>
                  <w:lang w:val="en-ZA" w:bidi="he-IL"/>
                </w:rPr>
                <w:t>http://www.africagrowth.com/event_conf.htm</w:t>
              </w:r>
            </w:hyperlink>
            <w:r w:rsidRPr="003C6EC8">
              <w:rPr>
                <w:rFonts w:ascii="Arial" w:eastAsia="Calibri" w:hAnsi="Arial" w:cs="Arial"/>
                <w:lang w:val="en-ZA" w:bidi="he-IL"/>
              </w:rPr>
              <w:t xml:space="preserve">  </w:t>
            </w:r>
          </w:p>
          <w:p w14:paraId="1D30E9DB" w14:textId="77777777" w:rsidR="003C6EC8" w:rsidRPr="003C6EC8" w:rsidRDefault="003C6EC8" w:rsidP="003C6EC8">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Insurance Institute of South Africa annual conference. </w:t>
            </w:r>
            <w:hyperlink r:id="rId18" w:history="1">
              <w:r w:rsidRPr="003C6EC8">
                <w:rPr>
                  <w:rFonts w:ascii="Arial" w:eastAsia="Calibri" w:hAnsi="Arial" w:cs="Arial"/>
                  <w:color w:val="0000FF"/>
                  <w:u w:val="single"/>
                  <w:lang w:val="en-ZA" w:bidi="he-IL"/>
                </w:rPr>
                <w:t>https://www.iisa.co.za/</w:t>
              </w:r>
            </w:hyperlink>
            <w:r w:rsidRPr="003C6EC8">
              <w:rPr>
                <w:rFonts w:ascii="Arial" w:eastAsia="Calibri" w:hAnsi="Arial" w:cs="Arial"/>
                <w:lang w:val="en-ZA" w:bidi="he-IL"/>
              </w:rPr>
              <w:t xml:space="preserve">    </w:t>
            </w:r>
          </w:p>
          <w:p w14:paraId="78884A66" w14:textId="77777777" w:rsidR="003C6EC8" w:rsidRPr="003C6EC8" w:rsidRDefault="003C6EC8" w:rsidP="003C6EC8">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American Risk and Insurance Association annual meetings.  </w:t>
            </w:r>
            <w:hyperlink r:id="rId19" w:history="1">
              <w:r w:rsidRPr="003C6EC8">
                <w:rPr>
                  <w:rFonts w:ascii="Arial" w:eastAsia="Calibri" w:hAnsi="Arial" w:cs="Arial"/>
                  <w:color w:val="0000FF"/>
                  <w:u w:val="single"/>
                  <w:lang w:val="en-ZA" w:bidi="he-IL"/>
                </w:rPr>
                <w:t>http://aria.org/events/</w:t>
              </w:r>
            </w:hyperlink>
            <w:r w:rsidRPr="003C6EC8">
              <w:rPr>
                <w:rFonts w:ascii="Arial" w:eastAsia="Calibri" w:hAnsi="Arial" w:cs="Arial"/>
                <w:lang w:val="en-ZA" w:bidi="he-IL"/>
              </w:rPr>
              <w:t xml:space="preserve"> </w:t>
            </w:r>
          </w:p>
          <w:p w14:paraId="1F9B3513" w14:textId="77777777" w:rsidR="003C6EC8" w:rsidRPr="003C6EC8" w:rsidRDefault="003C6EC8" w:rsidP="003C6EC8">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Basel committee on Banking Supervision. </w:t>
            </w:r>
            <w:hyperlink r:id="rId20" w:history="1">
              <w:r w:rsidRPr="003C6EC8">
                <w:rPr>
                  <w:rFonts w:ascii="Arial" w:eastAsia="Calibri" w:hAnsi="Arial" w:cs="Arial"/>
                  <w:color w:val="0000FF"/>
                  <w:u w:val="single"/>
                  <w:lang w:val="en-ZA" w:bidi="he-IL"/>
                </w:rPr>
                <w:t>www.bis.org</w:t>
              </w:r>
            </w:hyperlink>
            <w:r w:rsidRPr="003C6EC8">
              <w:rPr>
                <w:rFonts w:ascii="Arial" w:eastAsia="Calibri" w:hAnsi="Arial" w:cs="Arial"/>
                <w:lang w:val="en-ZA" w:bidi="he-IL"/>
              </w:rPr>
              <w:t xml:space="preserve"> </w:t>
            </w:r>
          </w:p>
          <w:p w14:paraId="204FE3DC" w14:textId="77777777" w:rsidR="003C6EC8" w:rsidRPr="003C6EC8" w:rsidRDefault="003C6EC8" w:rsidP="003C6EC8">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South Africa Institute of Financial Markets (SAIFM). </w:t>
            </w:r>
            <w:hyperlink r:id="rId21" w:history="1">
              <w:r w:rsidRPr="003C6EC8">
                <w:rPr>
                  <w:rFonts w:ascii="Arial" w:eastAsia="Calibri" w:hAnsi="Arial" w:cs="Arial"/>
                  <w:color w:val="0000FF"/>
                  <w:u w:val="single"/>
                  <w:lang w:val="en-ZA" w:bidi="he-IL"/>
                </w:rPr>
                <w:t>www.saifm.co.za</w:t>
              </w:r>
            </w:hyperlink>
          </w:p>
          <w:p w14:paraId="33E52D1D" w14:textId="77777777" w:rsidR="003C6EC8" w:rsidRPr="003C6EC8" w:rsidRDefault="003C6EC8" w:rsidP="003C6EC8">
            <w:pPr>
              <w:spacing w:after="0" w:line="240" w:lineRule="auto"/>
              <w:jc w:val="both"/>
              <w:rPr>
                <w:rFonts w:ascii="Arial" w:eastAsia="Calibri" w:hAnsi="Arial" w:cs="Arial"/>
                <w:lang w:val="en-ZA" w:bidi="he-IL"/>
              </w:rPr>
            </w:pPr>
          </w:p>
        </w:tc>
      </w:tr>
      <w:tr w:rsidR="003C6EC8" w:rsidRPr="003C6EC8" w14:paraId="56396496" w14:textId="77777777" w:rsidTr="001A33DA">
        <w:trPr>
          <w:trHeight w:val="276"/>
        </w:trPr>
        <w:tc>
          <w:tcPr>
            <w:tcW w:w="9288" w:type="dxa"/>
            <w:gridSpan w:val="4"/>
            <w:shd w:val="clear" w:color="auto" w:fill="D9D9D9"/>
          </w:tcPr>
          <w:p w14:paraId="00910354"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b/>
                <w:lang w:val="en-ZA" w:bidi="he-IL"/>
              </w:rPr>
              <w:t>Potential M&amp;D research focus areas or research projects</w:t>
            </w:r>
          </w:p>
        </w:tc>
      </w:tr>
      <w:tr w:rsidR="003C6EC8" w:rsidRPr="003C6EC8" w14:paraId="30361ACA" w14:textId="77777777" w:rsidTr="001A33DA">
        <w:trPr>
          <w:trHeight w:val="276"/>
        </w:trPr>
        <w:tc>
          <w:tcPr>
            <w:tcW w:w="2800" w:type="dxa"/>
            <w:shd w:val="clear" w:color="auto" w:fill="D9D9D9"/>
          </w:tcPr>
          <w:p w14:paraId="72D4BBBC"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Unit of Analysis</w:t>
            </w:r>
          </w:p>
        </w:tc>
        <w:tc>
          <w:tcPr>
            <w:tcW w:w="6488" w:type="dxa"/>
            <w:gridSpan w:val="3"/>
            <w:shd w:val="clear" w:color="auto" w:fill="D9D9D9"/>
          </w:tcPr>
          <w:p w14:paraId="66332084"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Research Focus</w:t>
            </w:r>
          </w:p>
          <w:p w14:paraId="527366A8" w14:textId="77777777" w:rsidR="003C6EC8" w:rsidRPr="003C6EC8" w:rsidRDefault="003C6EC8" w:rsidP="003C6EC8">
            <w:pPr>
              <w:spacing w:after="0" w:line="240" w:lineRule="auto"/>
              <w:jc w:val="both"/>
              <w:rPr>
                <w:rFonts w:ascii="Arial" w:eastAsia="Calibri" w:hAnsi="Arial" w:cs="Arial"/>
                <w:i/>
                <w:lang w:val="en-ZA" w:bidi="he-IL"/>
              </w:rPr>
            </w:pPr>
          </w:p>
        </w:tc>
      </w:tr>
      <w:tr w:rsidR="003C6EC8" w:rsidRPr="003C6EC8" w14:paraId="61E66F7D" w14:textId="77777777" w:rsidTr="001A33DA">
        <w:trPr>
          <w:trHeight w:val="276"/>
        </w:trPr>
        <w:tc>
          <w:tcPr>
            <w:tcW w:w="2800" w:type="dxa"/>
            <w:shd w:val="clear" w:color="auto" w:fill="auto"/>
          </w:tcPr>
          <w:p w14:paraId="26AE9678"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 xml:space="preserve">FinTech </w:t>
            </w:r>
          </w:p>
        </w:tc>
        <w:tc>
          <w:tcPr>
            <w:tcW w:w="6488" w:type="dxa"/>
            <w:gridSpan w:val="3"/>
            <w:shd w:val="clear" w:color="auto" w:fill="auto"/>
          </w:tcPr>
          <w:p w14:paraId="12CF4054"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With the advent of the 4IR, Financial technology (FinTech) is being adopted at various pace across the globe. Notwithstanding, research in this area is still at a nascent stage.  Proposed studies in this area need to test the following issues amongst others:</w:t>
            </w:r>
          </w:p>
          <w:p w14:paraId="33E39BFA" w14:textId="77777777" w:rsidR="003C6EC8" w:rsidRPr="003C6EC8" w:rsidRDefault="003C6EC8" w:rsidP="003C6EC8">
            <w:pPr>
              <w:spacing w:after="0" w:line="240" w:lineRule="auto"/>
              <w:jc w:val="both"/>
              <w:rPr>
                <w:rFonts w:ascii="Arial" w:eastAsia="Calibri" w:hAnsi="Arial" w:cs="Arial"/>
                <w:lang w:val="en-ZA" w:bidi="he-IL"/>
              </w:rPr>
            </w:pPr>
          </w:p>
          <w:p w14:paraId="3DE387E8" w14:textId="77777777"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Establish the determinants of FinTech adoption.</w:t>
            </w:r>
          </w:p>
          <w:p w14:paraId="5CE1B110" w14:textId="77777777"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Demonstrate the link between FinTech and financial inclusion.</w:t>
            </w:r>
          </w:p>
          <w:p w14:paraId="59528E39" w14:textId="77777777"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Establish whether FinTech adoption fosters bank competition.</w:t>
            </w:r>
          </w:p>
          <w:p w14:paraId="4F2711A0" w14:textId="77777777"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Establish whether </w:t>
            </w:r>
            <w:proofErr w:type="spellStart"/>
            <w:r w:rsidRPr="003C6EC8">
              <w:rPr>
                <w:rFonts w:ascii="Arial" w:eastAsia="Calibri" w:hAnsi="Arial" w:cs="Arial"/>
                <w:lang w:val="en-ZA" w:bidi="he-IL"/>
              </w:rPr>
              <w:t>InsurTech</w:t>
            </w:r>
            <w:proofErr w:type="spellEnd"/>
            <w:r w:rsidRPr="003C6EC8">
              <w:rPr>
                <w:rFonts w:ascii="Arial" w:eastAsia="Calibri" w:hAnsi="Arial" w:cs="Arial"/>
                <w:lang w:val="en-ZA" w:bidi="he-IL"/>
              </w:rPr>
              <w:t xml:space="preserve"> fosters insurer competition.</w:t>
            </w:r>
          </w:p>
          <w:p w14:paraId="28DBF6B3" w14:textId="77777777"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Demonstrate the link between FinTech adoption and bank efficiency.</w:t>
            </w:r>
          </w:p>
          <w:p w14:paraId="1994071F" w14:textId="77777777"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Demonstrate the nexus between </w:t>
            </w:r>
            <w:proofErr w:type="spellStart"/>
            <w:r w:rsidRPr="003C6EC8">
              <w:rPr>
                <w:rFonts w:ascii="Arial" w:eastAsia="Calibri" w:hAnsi="Arial" w:cs="Arial"/>
                <w:lang w:val="en-ZA" w:bidi="he-IL"/>
              </w:rPr>
              <w:t>InsurTech</w:t>
            </w:r>
            <w:proofErr w:type="spellEnd"/>
            <w:r w:rsidRPr="003C6EC8">
              <w:rPr>
                <w:rFonts w:ascii="Arial" w:eastAsia="Calibri" w:hAnsi="Arial" w:cs="Arial"/>
                <w:lang w:val="en-ZA" w:bidi="he-IL"/>
              </w:rPr>
              <w:t xml:space="preserve"> and insurer Efficiency.</w:t>
            </w:r>
          </w:p>
          <w:p w14:paraId="5EE1FEC9" w14:textId="77777777"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Determine whether adoption of FinTech leads to reduced cost of financing.</w:t>
            </w:r>
          </w:p>
          <w:p w14:paraId="1EF84CA6" w14:textId="77777777" w:rsidR="003C6EC8" w:rsidRPr="003C6EC8" w:rsidRDefault="003C6EC8" w:rsidP="003C6EC8">
            <w:pPr>
              <w:spacing w:after="0" w:line="240" w:lineRule="auto"/>
              <w:ind w:left="720"/>
              <w:contextualSpacing/>
              <w:jc w:val="both"/>
              <w:rPr>
                <w:rFonts w:ascii="Arial" w:eastAsia="Calibri" w:hAnsi="Arial" w:cs="Arial"/>
                <w:lang w:val="en-ZA" w:bidi="he-IL"/>
              </w:rPr>
            </w:pPr>
          </w:p>
          <w:p w14:paraId="36A137CC" w14:textId="643263B4"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lastRenderedPageBreak/>
              <w:t xml:space="preserve">This research focus area will have the capacity for </w:t>
            </w:r>
            <w:r w:rsidR="0090317E">
              <w:rPr>
                <w:rFonts w:ascii="Arial" w:eastAsia="Calibri" w:hAnsi="Arial" w:cs="Arial"/>
                <w:lang w:val="en-ZA" w:bidi="he-IL"/>
              </w:rPr>
              <w:t>one</w:t>
            </w:r>
            <w:r w:rsidRPr="003C6EC8">
              <w:rPr>
                <w:rFonts w:ascii="Arial" w:eastAsia="Calibri" w:hAnsi="Arial" w:cs="Arial"/>
                <w:lang w:val="en-ZA" w:bidi="he-IL"/>
              </w:rPr>
              <w:t xml:space="preserve"> </w:t>
            </w:r>
            <w:r w:rsidRPr="003C6EC8">
              <w:rPr>
                <w:rFonts w:ascii="Arial" w:eastAsia="Calibri" w:hAnsi="Arial" w:cs="Arial"/>
                <w:b/>
                <w:lang w:val="en-ZA" w:bidi="he-IL"/>
              </w:rPr>
              <w:t xml:space="preserve">PhD </w:t>
            </w:r>
            <w:proofErr w:type="gramStart"/>
            <w:r w:rsidRPr="003C6EC8">
              <w:rPr>
                <w:rFonts w:ascii="Arial" w:eastAsia="Calibri" w:hAnsi="Arial" w:cs="Arial"/>
                <w:lang w:val="en-ZA" w:bidi="he-IL"/>
              </w:rPr>
              <w:t>candidates</w:t>
            </w:r>
            <w:proofErr w:type="gramEnd"/>
            <w:r w:rsidRPr="003C6EC8">
              <w:rPr>
                <w:rFonts w:ascii="Arial" w:eastAsia="Calibri" w:hAnsi="Arial" w:cs="Arial"/>
                <w:lang w:val="en-ZA" w:bidi="he-IL"/>
              </w:rPr>
              <w:t xml:space="preserve"> and </w:t>
            </w:r>
            <w:r w:rsidR="0090317E">
              <w:rPr>
                <w:rFonts w:ascii="Arial" w:eastAsia="Calibri" w:hAnsi="Arial" w:cs="Arial"/>
                <w:lang w:val="en-ZA" w:bidi="he-IL"/>
              </w:rPr>
              <w:t>one</w:t>
            </w:r>
            <w:r w:rsidRPr="003C6EC8">
              <w:rPr>
                <w:rFonts w:ascii="Arial" w:eastAsia="Calibri" w:hAnsi="Arial" w:cs="Arial"/>
                <w:lang w:val="en-ZA" w:bidi="he-IL"/>
              </w:rPr>
              <w:t xml:space="preserve"> masters</w:t>
            </w:r>
            <w:r>
              <w:rPr>
                <w:rFonts w:ascii="Arial" w:eastAsia="Calibri" w:hAnsi="Arial" w:cs="Arial"/>
                <w:lang w:val="en-ZA" w:bidi="he-IL"/>
              </w:rPr>
              <w:t xml:space="preserve"> </w:t>
            </w:r>
            <w:r w:rsidRPr="003C6EC8">
              <w:rPr>
                <w:rFonts w:ascii="Arial" w:eastAsia="Calibri" w:hAnsi="Arial" w:cs="Arial"/>
                <w:b/>
                <w:lang w:val="en-ZA" w:bidi="he-IL"/>
              </w:rPr>
              <w:t>(MPhil)</w:t>
            </w:r>
            <w:r w:rsidRPr="003C6EC8">
              <w:rPr>
                <w:rFonts w:ascii="Arial" w:eastAsia="Calibri" w:hAnsi="Arial" w:cs="Arial"/>
                <w:lang w:val="en-ZA" w:bidi="he-IL"/>
              </w:rPr>
              <w:t xml:space="preserve"> candidates.</w:t>
            </w:r>
          </w:p>
        </w:tc>
      </w:tr>
      <w:tr w:rsidR="003C6EC8" w:rsidRPr="003C6EC8" w14:paraId="4091936C" w14:textId="77777777" w:rsidTr="001A33DA">
        <w:trPr>
          <w:trHeight w:val="276"/>
        </w:trPr>
        <w:tc>
          <w:tcPr>
            <w:tcW w:w="2800" w:type="dxa"/>
            <w:shd w:val="clear" w:color="auto" w:fill="auto"/>
          </w:tcPr>
          <w:p w14:paraId="604FFB34"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lastRenderedPageBreak/>
              <w:t>Contemporary issues in banking research</w:t>
            </w:r>
          </w:p>
        </w:tc>
        <w:tc>
          <w:tcPr>
            <w:tcW w:w="6488" w:type="dxa"/>
            <w:gridSpan w:val="3"/>
            <w:shd w:val="clear" w:color="auto" w:fill="auto"/>
          </w:tcPr>
          <w:p w14:paraId="7764F033" w14:textId="77777777" w:rsidR="003C6EC8" w:rsidRPr="003C6EC8" w:rsidRDefault="003C6EC8" w:rsidP="003C6EC8">
            <w:pPr>
              <w:spacing w:after="200" w:line="276" w:lineRule="auto"/>
              <w:jc w:val="both"/>
              <w:rPr>
                <w:rFonts w:ascii="Arial" w:eastAsia="Calibri" w:hAnsi="Arial" w:cs="Arial"/>
                <w:lang w:val="en-ZA" w:bidi="he-IL"/>
              </w:rPr>
            </w:pPr>
            <w:r w:rsidRPr="003C6EC8">
              <w:rPr>
                <w:rFonts w:ascii="Arial" w:eastAsia="Calibri" w:hAnsi="Arial" w:cs="Arial"/>
                <w:lang w:val="en-ZA" w:bidi="he-IL"/>
              </w:rPr>
              <w:t>There are number of recurrent themes in banking research upon which studies can be based on. These include:</w:t>
            </w:r>
          </w:p>
          <w:p w14:paraId="765FCD75" w14:textId="77777777" w:rsidR="003C6EC8" w:rsidRPr="003C6EC8" w:rsidRDefault="003C6EC8" w:rsidP="003C6EC8">
            <w:pPr>
              <w:numPr>
                <w:ilvl w:val="0"/>
                <w:numId w:val="13"/>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 xml:space="preserve">Bank lending </w:t>
            </w:r>
          </w:p>
          <w:p w14:paraId="545A084D" w14:textId="77777777" w:rsidR="003C6EC8" w:rsidRPr="003C6EC8" w:rsidRDefault="003C6EC8" w:rsidP="003C6EC8">
            <w:pPr>
              <w:numPr>
                <w:ilvl w:val="0"/>
                <w:numId w:val="13"/>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Bank credit risk</w:t>
            </w:r>
          </w:p>
          <w:p w14:paraId="1CFD431F" w14:textId="77777777" w:rsidR="003C6EC8" w:rsidRPr="003C6EC8" w:rsidRDefault="003C6EC8" w:rsidP="003C6EC8">
            <w:pPr>
              <w:numPr>
                <w:ilvl w:val="0"/>
                <w:numId w:val="13"/>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Bank liquidity</w:t>
            </w:r>
          </w:p>
          <w:p w14:paraId="3B04CB3D" w14:textId="77777777" w:rsidR="003C6EC8" w:rsidRPr="003C6EC8" w:rsidRDefault="003C6EC8" w:rsidP="003C6EC8">
            <w:pPr>
              <w:numPr>
                <w:ilvl w:val="0"/>
                <w:numId w:val="13"/>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 xml:space="preserve">Capital </w:t>
            </w:r>
            <w:proofErr w:type="gramStart"/>
            <w:r w:rsidRPr="003C6EC8">
              <w:rPr>
                <w:rFonts w:ascii="Arial" w:eastAsia="Calibri" w:hAnsi="Arial" w:cs="Arial"/>
                <w:lang w:val="en-ZA" w:bidi="he-IL"/>
              </w:rPr>
              <w:t>regulation</w:t>
            </w:r>
            <w:proofErr w:type="gramEnd"/>
          </w:p>
          <w:p w14:paraId="41F5A7DF" w14:textId="77777777" w:rsidR="003C6EC8" w:rsidRPr="003C6EC8" w:rsidRDefault="003C6EC8" w:rsidP="003C6EC8">
            <w:pPr>
              <w:numPr>
                <w:ilvl w:val="0"/>
                <w:numId w:val="13"/>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Bank efficiency</w:t>
            </w:r>
          </w:p>
          <w:p w14:paraId="0835DF25" w14:textId="77777777" w:rsidR="003C6EC8" w:rsidRPr="003C6EC8" w:rsidRDefault="003C6EC8" w:rsidP="003C6EC8">
            <w:pPr>
              <w:numPr>
                <w:ilvl w:val="0"/>
                <w:numId w:val="13"/>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New banking business models</w:t>
            </w:r>
          </w:p>
          <w:p w14:paraId="15BE4CB6" w14:textId="46175F68" w:rsidR="003C6EC8" w:rsidRPr="003C6EC8" w:rsidRDefault="003C6EC8" w:rsidP="003C6EC8">
            <w:pPr>
              <w:spacing w:after="200" w:line="276" w:lineRule="auto"/>
              <w:jc w:val="both"/>
              <w:rPr>
                <w:rFonts w:ascii="Arial" w:eastAsia="Calibri" w:hAnsi="Arial" w:cs="Arial"/>
                <w:lang w:val="en-ZA" w:bidi="he-IL"/>
              </w:rPr>
            </w:pPr>
            <w:r w:rsidRPr="003C6EC8">
              <w:rPr>
                <w:rFonts w:ascii="Arial" w:eastAsia="Calibri" w:hAnsi="Arial" w:cs="Arial"/>
                <w:lang w:val="en-ZA" w:bidi="he-IL"/>
              </w:rPr>
              <w:t xml:space="preserve">This research focus area will have the capacity for </w:t>
            </w:r>
            <w:r>
              <w:rPr>
                <w:rFonts w:ascii="Arial" w:eastAsia="Calibri" w:hAnsi="Arial" w:cs="Arial"/>
                <w:lang w:val="en-ZA" w:bidi="he-IL"/>
              </w:rPr>
              <w:t>one</w:t>
            </w:r>
            <w:r w:rsidRPr="003C6EC8">
              <w:rPr>
                <w:rFonts w:ascii="Arial" w:eastAsia="Calibri" w:hAnsi="Arial" w:cs="Arial"/>
                <w:lang w:val="en-ZA" w:bidi="he-IL"/>
              </w:rPr>
              <w:t xml:space="preserve"> </w:t>
            </w:r>
            <w:r w:rsidRPr="003C6EC8">
              <w:rPr>
                <w:rFonts w:ascii="Arial" w:eastAsia="Calibri" w:hAnsi="Arial" w:cs="Arial"/>
                <w:b/>
                <w:lang w:val="en-ZA" w:bidi="he-IL"/>
              </w:rPr>
              <w:t>PhD</w:t>
            </w:r>
            <w:r w:rsidRPr="003C6EC8">
              <w:rPr>
                <w:rFonts w:ascii="Arial" w:eastAsia="Calibri" w:hAnsi="Arial" w:cs="Arial"/>
                <w:lang w:val="en-ZA" w:bidi="he-IL"/>
              </w:rPr>
              <w:t xml:space="preserve"> </w:t>
            </w:r>
            <w:proofErr w:type="gramStart"/>
            <w:r w:rsidRPr="003C6EC8">
              <w:rPr>
                <w:rFonts w:ascii="Arial" w:eastAsia="Calibri" w:hAnsi="Arial" w:cs="Arial"/>
                <w:lang w:val="en-ZA" w:bidi="he-IL"/>
              </w:rPr>
              <w:t>candidates</w:t>
            </w:r>
            <w:proofErr w:type="gramEnd"/>
            <w:r w:rsidRPr="003C6EC8">
              <w:rPr>
                <w:rFonts w:ascii="Arial" w:eastAsia="Calibri" w:hAnsi="Arial" w:cs="Arial"/>
                <w:lang w:val="en-ZA" w:bidi="he-IL"/>
              </w:rPr>
              <w:t xml:space="preserve"> and </w:t>
            </w:r>
            <w:r w:rsidR="0090317E">
              <w:rPr>
                <w:rFonts w:ascii="Arial" w:eastAsia="Calibri" w:hAnsi="Arial" w:cs="Arial"/>
                <w:lang w:val="en-ZA" w:bidi="he-IL"/>
              </w:rPr>
              <w:t>one</w:t>
            </w:r>
            <w:r w:rsidRPr="003C6EC8">
              <w:rPr>
                <w:rFonts w:ascii="Arial" w:eastAsia="Calibri" w:hAnsi="Arial" w:cs="Arial"/>
                <w:lang w:val="en-ZA" w:bidi="he-IL"/>
              </w:rPr>
              <w:t xml:space="preserve"> masters</w:t>
            </w:r>
            <w:r>
              <w:rPr>
                <w:rFonts w:ascii="Arial" w:eastAsia="Calibri" w:hAnsi="Arial" w:cs="Arial"/>
                <w:lang w:val="en-ZA" w:bidi="he-IL"/>
              </w:rPr>
              <w:t xml:space="preserve"> </w:t>
            </w:r>
            <w:r w:rsidRPr="003C6EC8">
              <w:rPr>
                <w:rFonts w:ascii="Arial" w:eastAsia="Calibri" w:hAnsi="Arial" w:cs="Arial"/>
                <w:b/>
                <w:lang w:val="en-ZA" w:bidi="he-IL"/>
              </w:rPr>
              <w:t>(MPhil)</w:t>
            </w:r>
            <w:r w:rsidRPr="003C6EC8">
              <w:rPr>
                <w:rFonts w:ascii="Arial" w:eastAsia="Calibri" w:hAnsi="Arial" w:cs="Arial"/>
                <w:lang w:val="en-ZA" w:bidi="he-IL"/>
              </w:rPr>
              <w:t xml:space="preserve"> candidates.</w:t>
            </w:r>
          </w:p>
        </w:tc>
      </w:tr>
      <w:tr w:rsidR="003C6EC8" w:rsidRPr="003C6EC8" w14:paraId="17DCC41F" w14:textId="77777777" w:rsidTr="001A33DA">
        <w:trPr>
          <w:trHeight w:val="276"/>
        </w:trPr>
        <w:tc>
          <w:tcPr>
            <w:tcW w:w="2800" w:type="dxa"/>
            <w:tcBorders>
              <w:top w:val="single" w:sz="4" w:space="0" w:color="auto"/>
              <w:left w:val="single" w:sz="4" w:space="0" w:color="auto"/>
              <w:bottom w:val="single" w:sz="4" w:space="0" w:color="auto"/>
              <w:right w:val="single" w:sz="4" w:space="0" w:color="auto"/>
            </w:tcBorders>
            <w:shd w:val="clear" w:color="auto" w:fill="auto"/>
          </w:tcPr>
          <w:p w14:paraId="2BD15DA5"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Contemporary issues in insurance research</w:t>
            </w:r>
          </w:p>
        </w:tc>
        <w:tc>
          <w:tcPr>
            <w:tcW w:w="6488" w:type="dxa"/>
            <w:gridSpan w:val="3"/>
            <w:tcBorders>
              <w:top w:val="single" w:sz="4" w:space="0" w:color="auto"/>
              <w:left w:val="single" w:sz="4" w:space="0" w:color="auto"/>
              <w:bottom w:val="single" w:sz="4" w:space="0" w:color="auto"/>
              <w:right w:val="single" w:sz="4" w:space="0" w:color="auto"/>
            </w:tcBorders>
            <w:shd w:val="clear" w:color="auto" w:fill="auto"/>
          </w:tcPr>
          <w:p w14:paraId="1A023A64" w14:textId="77777777" w:rsidR="003C6EC8" w:rsidRPr="003C6EC8" w:rsidRDefault="003C6EC8" w:rsidP="003C6EC8">
            <w:pPr>
              <w:spacing w:after="200" w:line="276" w:lineRule="auto"/>
              <w:jc w:val="both"/>
              <w:rPr>
                <w:rFonts w:ascii="Arial" w:eastAsia="Calibri" w:hAnsi="Arial" w:cs="Arial"/>
                <w:lang w:val="en-ZA" w:bidi="he-IL"/>
              </w:rPr>
            </w:pPr>
            <w:r w:rsidRPr="003C6EC8">
              <w:rPr>
                <w:rFonts w:ascii="Arial" w:eastAsia="Calibri" w:hAnsi="Arial" w:cs="Arial"/>
                <w:lang w:val="en-ZA" w:bidi="he-IL"/>
              </w:rPr>
              <w:t>Insurance research is very broad as it covers life insurance, non-life insurance and pensions research. This research focus area will entertain any novelty concepts within the realm of the following:</w:t>
            </w:r>
          </w:p>
          <w:p w14:paraId="6286D1B0" w14:textId="77777777" w:rsidR="003C6EC8" w:rsidRPr="003C6EC8" w:rsidRDefault="003C6EC8" w:rsidP="003C6EC8">
            <w:pPr>
              <w:numPr>
                <w:ilvl w:val="0"/>
                <w:numId w:val="1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Insurance economics</w:t>
            </w:r>
          </w:p>
          <w:p w14:paraId="69273217" w14:textId="77777777" w:rsidR="003C6EC8" w:rsidRPr="003C6EC8" w:rsidRDefault="003C6EC8" w:rsidP="003C6EC8">
            <w:pPr>
              <w:numPr>
                <w:ilvl w:val="0"/>
                <w:numId w:val="1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Alternative risk financing</w:t>
            </w:r>
          </w:p>
          <w:p w14:paraId="1FB97E70" w14:textId="77777777" w:rsidR="003C6EC8" w:rsidRPr="003C6EC8" w:rsidRDefault="003C6EC8" w:rsidP="003C6EC8">
            <w:pPr>
              <w:numPr>
                <w:ilvl w:val="0"/>
                <w:numId w:val="14"/>
              </w:numPr>
              <w:spacing w:after="200" w:line="276" w:lineRule="auto"/>
              <w:contextualSpacing/>
              <w:jc w:val="both"/>
              <w:rPr>
                <w:rFonts w:ascii="Arial" w:eastAsia="Calibri" w:hAnsi="Arial" w:cs="Arial"/>
                <w:i/>
                <w:lang w:val="en-ZA" w:bidi="he-IL"/>
              </w:rPr>
            </w:pPr>
            <w:r w:rsidRPr="003C6EC8">
              <w:rPr>
                <w:rFonts w:ascii="Arial" w:eastAsia="Calibri" w:hAnsi="Arial" w:cs="Arial"/>
                <w:lang w:val="en-ZA" w:bidi="he-IL"/>
              </w:rPr>
              <w:t xml:space="preserve">Cyber risks </w:t>
            </w:r>
            <w:r w:rsidRPr="003C6EC8">
              <w:rPr>
                <w:rFonts w:ascii="Arial" w:eastAsia="Calibri" w:hAnsi="Arial" w:cs="Arial"/>
                <w:i/>
                <w:lang w:val="en-ZA" w:bidi="he-IL"/>
              </w:rPr>
              <w:t xml:space="preserve">(observed growing trends in cyber-attacks or cyber breaches or cyber-risk exposures) </w:t>
            </w:r>
          </w:p>
          <w:p w14:paraId="2A345F9D" w14:textId="77777777" w:rsidR="003C6EC8" w:rsidRPr="003C6EC8" w:rsidRDefault="003C6EC8" w:rsidP="003C6EC8">
            <w:pPr>
              <w:numPr>
                <w:ilvl w:val="0"/>
                <w:numId w:val="1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 xml:space="preserve">Directors and Officers Liability (D &amp; O) </w:t>
            </w:r>
          </w:p>
          <w:p w14:paraId="3644C41B" w14:textId="77777777" w:rsidR="003C6EC8" w:rsidRPr="003C6EC8" w:rsidRDefault="003C6EC8" w:rsidP="003C6EC8">
            <w:pPr>
              <w:spacing w:after="200" w:line="276" w:lineRule="auto"/>
              <w:ind w:left="720"/>
              <w:contextualSpacing/>
              <w:jc w:val="both"/>
              <w:rPr>
                <w:rFonts w:ascii="Arial" w:eastAsia="Calibri" w:hAnsi="Arial" w:cs="Arial"/>
                <w:lang w:val="en-ZA" w:bidi="he-IL"/>
              </w:rPr>
            </w:pPr>
            <w:r w:rsidRPr="003C6EC8">
              <w:rPr>
                <w:rFonts w:ascii="Arial" w:eastAsia="Calibri" w:hAnsi="Arial" w:cs="Arial"/>
                <w:i/>
                <w:lang w:val="en-ZA" w:bidi="he-IL"/>
              </w:rPr>
              <w:t>The Steinhoff corporate scandal coupled with the State Capture Commission hearings in South Africa have led to an awareness on the need for this insurance coverage.</w:t>
            </w:r>
            <w:r w:rsidRPr="003C6EC8">
              <w:rPr>
                <w:rFonts w:ascii="Arial" w:eastAsia="Calibri" w:hAnsi="Arial" w:cs="Arial"/>
                <w:lang w:val="en-ZA" w:bidi="he-IL"/>
              </w:rPr>
              <w:t xml:space="preserve"> </w:t>
            </w:r>
          </w:p>
          <w:p w14:paraId="072410E3" w14:textId="77777777" w:rsidR="003C6EC8" w:rsidRPr="003C6EC8" w:rsidRDefault="003C6EC8" w:rsidP="003C6EC8">
            <w:pPr>
              <w:spacing w:after="200" w:line="276" w:lineRule="auto"/>
              <w:ind w:left="720"/>
              <w:contextualSpacing/>
              <w:jc w:val="both"/>
              <w:rPr>
                <w:rFonts w:ascii="Arial" w:eastAsia="Calibri" w:hAnsi="Arial" w:cs="Arial"/>
                <w:lang w:val="en-ZA" w:bidi="he-IL"/>
              </w:rPr>
            </w:pPr>
            <w:r w:rsidRPr="003C6EC8">
              <w:rPr>
                <w:rFonts w:ascii="Arial" w:eastAsia="Calibri" w:hAnsi="Arial" w:cs="Arial"/>
                <w:lang w:val="en-ZA" w:bidi="he-IL"/>
              </w:rPr>
              <w:t>Studies could for instance, establish the relationship between Corporate Social Responsibility (CSR) and Directors and Officers Liability claims.</w:t>
            </w:r>
          </w:p>
          <w:p w14:paraId="0DA8761C" w14:textId="77777777" w:rsidR="003C6EC8" w:rsidRPr="003C6EC8" w:rsidRDefault="003C6EC8" w:rsidP="003C6EC8">
            <w:pPr>
              <w:numPr>
                <w:ilvl w:val="0"/>
                <w:numId w:val="1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Pension policy reform</w:t>
            </w:r>
          </w:p>
          <w:p w14:paraId="12C7D901" w14:textId="44B8812A" w:rsidR="003C6EC8" w:rsidRPr="003C6EC8" w:rsidRDefault="003C6EC8" w:rsidP="003C6EC8">
            <w:pPr>
              <w:spacing w:after="200" w:line="276" w:lineRule="auto"/>
              <w:ind w:left="360"/>
              <w:jc w:val="both"/>
              <w:rPr>
                <w:rFonts w:ascii="Arial" w:eastAsia="Calibri" w:hAnsi="Arial" w:cs="Arial"/>
                <w:lang w:val="en-ZA" w:bidi="he-IL"/>
              </w:rPr>
            </w:pPr>
            <w:r w:rsidRPr="003C6EC8">
              <w:rPr>
                <w:rFonts w:ascii="Arial" w:eastAsia="Calibri" w:hAnsi="Arial" w:cs="Arial"/>
                <w:lang w:val="en-ZA" w:bidi="he-IL"/>
              </w:rPr>
              <w:t xml:space="preserve">This research focus area will have the capacity for </w:t>
            </w:r>
            <w:r w:rsidR="00485E12">
              <w:rPr>
                <w:rFonts w:ascii="Arial" w:eastAsia="Calibri" w:hAnsi="Arial" w:cs="Arial"/>
                <w:lang w:val="en-ZA" w:bidi="he-IL"/>
              </w:rPr>
              <w:t>one</w:t>
            </w:r>
            <w:r w:rsidRPr="003C6EC8">
              <w:rPr>
                <w:rFonts w:ascii="Arial" w:eastAsia="Calibri" w:hAnsi="Arial" w:cs="Arial"/>
                <w:lang w:val="en-ZA" w:bidi="he-IL"/>
              </w:rPr>
              <w:t xml:space="preserve"> masters</w:t>
            </w:r>
            <w:r>
              <w:rPr>
                <w:rFonts w:ascii="Arial" w:eastAsia="Calibri" w:hAnsi="Arial" w:cs="Arial"/>
                <w:lang w:val="en-ZA" w:bidi="he-IL"/>
              </w:rPr>
              <w:t xml:space="preserve"> (</w:t>
            </w:r>
            <w:r w:rsidRPr="003C6EC8">
              <w:rPr>
                <w:rFonts w:ascii="Arial" w:eastAsia="Calibri" w:hAnsi="Arial" w:cs="Arial"/>
                <w:b/>
                <w:lang w:val="en-ZA" w:bidi="he-IL"/>
              </w:rPr>
              <w:t>MPhil</w:t>
            </w:r>
            <w:r>
              <w:rPr>
                <w:rFonts w:ascii="Arial" w:eastAsia="Calibri" w:hAnsi="Arial" w:cs="Arial"/>
                <w:lang w:val="en-ZA" w:bidi="he-IL"/>
              </w:rPr>
              <w:t>)</w:t>
            </w:r>
            <w:r w:rsidRPr="003C6EC8">
              <w:rPr>
                <w:rFonts w:ascii="Arial" w:eastAsia="Calibri" w:hAnsi="Arial" w:cs="Arial"/>
                <w:lang w:val="en-ZA" w:bidi="he-IL"/>
              </w:rPr>
              <w:t xml:space="preserve"> candidate</w:t>
            </w:r>
            <w:r w:rsidR="002622B7">
              <w:rPr>
                <w:rFonts w:ascii="Arial" w:eastAsia="Calibri" w:hAnsi="Arial" w:cs="Arial"/>
                <w:lang w:val="en-ZA" w:bidi="he-IL"/>
              </w:rPr>
              <w:t>.</w:t>
            </w:r>
          </w:p>
        </w:tc>
      </w:tr>
      <w:tr w:rsidR="003C6EC8" w:rsidRPr="003C6EC8" w14:paraId="0DF29763" w14:textId="77777777" w:rsidTr="001A33DA">
        <w:trPr>
          <w:trHeight w:val="276"/>
        </w:trPr>
        <w:tc>
          <w:tcPr>
            <w:tcW w:w="2800" w:type="dxa"/>
            <w:shd w:val="clear" w:color="auto" w:fill="auto"/>
          </w:tcPr>
          <w:p w14:paraId="0B5C9B0D"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Other areas in Banking and Insurance.</w:t>
            </w:r>
          </w:p>
        </w:tc>
        <w:tc>
          <w:tcPr>
            <w:tcW w:w="6488" w:type="dxa"/>
            <w:gridSpan w:val="3"/>
            <w:shd w:val="clear" w:color="auto" w:fill="auto"/>
          </w:tcPr>
          <w:p w14:paraId="7AB507A1" w14:textId="77777777" w:rsidR="003C6EC8" w:rsidRPr="003C6EC8" w:rsidRDefault="003C6EC8" w:rsidP="003C6EC8">
            <w:pPr>
              <w:spacing w:after="200" w:line="276" w:lineRule="auto"/>
              <w:jc w:val="both"/>
              <w:rPr>
                <w:rFonts w:ascii="Arial" w:eastAsia="Calibri" w:hAnsi="Arial" w:cs="Arial"/>
                <w:lang w:val="en-ZA" w:bidi="he-IL"/>
              </w:rPr>
            </w:pPr>
            <w:r w:rsidRPr="003C6EC8">
              <w:rPr>
                <w:rFonts w:ascii="Arial" w:eastAsia="Calibri" w:hAnsi="Arial" w:cs="Arial"/>
                <w:lang w:val="en-ZA" w:bidi="he-IL"/>
              </w:rPr>
              <w:t>Students are welcome to submit research outlines in other areas of banking and insurance as well. These will also be evaluated, and if a supervisor with the relevant expertise in the chosen research area is available, the student might be considered.</w:t>
            </w:r>
          </w:p>
        </w:tc>
      </w:tr>
    </w:tbl>
    <w:p w14:paraId="2E76F3D2" w14:textId="77777777" w:rsidR="003C6EC8" w:rsidRDefault="003C6EC8"/>
    <w:sectPr w:rsidR="003C6EC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1827D" w14:textId="77777777" w:rsidR="00C94AF9" w:rsidRDefault="00C94AF9" w:rsidP="003C6EC8">
      <w:pPr>
        <w:spacing w:after="0" w:line="240" w:lineRule="auto"/>
      </w:pPr>
      <w:r>
        <w:separator/>
      </w:r>
    </w:p>
  </w:endnote>
  <w:endnote w:type="continuationSeparator" w:id="0">
    <w:p w14:paraId="32E7FC41" w14:textId="77777777" w:rsidR="00C94AF9" w:rsidRDefault="00C94AF9" w:rsidP="003C6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6E7DC" w14:textId="77777777" w:rsidR="00C94AF9" w:rsidRDefault="00C94AF9" w:rsidP="003C6EC8">
      <w:pPr>
        <w:spacing w:after="0" w:line="240" w:lineRule="auto"/>
      </w:pPr>
      <w:r>
        <w:separator/>
      </w:r>
    </w:p>
  </w:footnote>
  <w:footnote w:type="continuationSeparator" w:id="0">
    <w:p w14:paraId="5F8D5454" w14:textId="77777777" w:rsidR="00C94AF9" w:rsidRDefault="00C94AF9" w:rsidP="003C6EC8">
      <w:pPr>
        <w:spacing w:after="0" w:line="240" w:lineRule="auto"/>
      </w:pPr>
      <w:r>
        <w:continuationSeparator/>
      </w:r>
    </w:p>
  </w:footnote>
  <w:footnote w:id="1">
    <w:p w14:paraId="2EA67A05" w14:textId="77777777" w:rsidR="003C6EC8" w:rsidRPr="002F036E" w:rsidRDefault="003C6EC8" w:rsidP="003C6EC8">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26F20"/>
    <w:multiLevelType w:val="hybridMultilevel"/>
    <w:tmpl w:val="FA564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E1B26"/>
    <w:multiLevelType w:val="hybridMultilevel"/>
    <w:tmpl w:val="59BC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535DA8"/>
    <w:multiLevelType w:val="hybridMultilevel"/>
    <w:tmpl w:val="6AC0A8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4661CB7"/>
    <w:multiLevelType w:val="hybridMultilevel"/>
    <w:tmpl w:val="8A848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EC92031"/>
    <w:multiLevelType w:val="hybridMultilevel"/>
    <w:tmpl w:val="71B00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4FB5007"/>
    <w:multiLevelType w:val="hybridMultilevel"/>
    <w:tmpl w:val="A754BF38"/>
    <w:lvl w:ilvl="0" w:tplc="04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6863E91"/>
    <w:multiLevelType w:val="hybridMultilevel"/>
    <w:tmpl w:val="BD7CBC3A"/>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6920572"/>
    <w:multiLevelType w:val="hybridMultilevel"/>
    <w:tmpl w:val="46E8C62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106F7F"/>
    <w:multiLevelType w:val="hybridMultilevel"/>
    <w:tmpl w:val="0C8CDA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707964"/>
    <w:multiLevelType w:val="hybridMultilevel"/>
    <w:tmpl w:val="71402C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0EA4681"/>
    <w:multiLevelType w:val="hybridMultilevel"/>
    <w:tmpl w:val="A0D0F78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9E6519"/>
    <w:multiLevelType w:val="multilevel"/>
    <w:tmpl w:val="F9004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CE133E"/>
    <w:multiLevelType w:val="hybridMultilevel"/>
    <w:tmpl w:val="B3E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8A13D8"/>
    <w:multiLevelType w:val="hybridMultilevel"/>
    <w:tmpl w:val="E55478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43024126">
    <w:abstractNumId w:val="10"/>
  </w:num>
  <w:num w:numId="2" w16cid:durableId="1483277390">
    <w:abstractNumId w:val="4"/>
  </w:num>
  <w:num w:numId="3" w16cid:durableId="317147481">
    <w:abstractNumId w:val="13"/>
  </w:num>
  <w:num w:numId="4" w16cid:durableId="170919632">
    <w:abstractNumId w:val="8"/>
  </w:num>
  <w:num w:numId="5" w16cid:durableId="660277315">
    <w:abstractNumId w:val="14"/>
  </w:num>
  <w:num w:numId="6" w16cid:durableId="1129712029">
    <w:abstractNumId w:val="12"/>
  </w:num>
  <w:num w:numId="7" w16cid:durableId="1553301041">
    <w:abstractNumId w:val="7"/>
  </w:num>
  <w:num w:numId="8" w16cid:durableId="884753990">
    <w:abstractNumId w:val="9"/>
  </w:num>
  <w:num w:numId="9" w16cid:durableId="237133806">
    <w:abstractNumId w:val="6"/>
  </w:num>
  <w:num w:numId="10" w16cid:durableId="563836453">
    <w:abstractNumId w:val="0"/>
  </w:num>
  <w:num w:numId="11" w16cid:durableId="582567253">
    <w:abstractNumId w:val="5"/>
  </w:num>
  <w:num w:numId="12" w16cid:durableId="950626240">
    <w:abstractNumId w:val="3"/>
  </w:num>
  <w:num w:numId="13" w16cid:durableId="1353603057">
    <w:abstractNumId w:val="15"/>
  </w:num>
  <w:num w:numId="14" w16cid:durableId="1569337136">
    <w:abstractNumId w:val="1"/>
  </w:num>
  <w:num w:numId="15" w16cid:durableId="1430855352">
    <w:abstractNumId w:val="2"/>
  </w:num>
  <w:num w:numId="16" w16cid:durableId="16107727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EC8"/>
    <w:rsid w:val="00091DC9"/>
    <w:rsid w:val="000A6320"/>
    <w:rsid w:val="000F0261"/>
    <w:rsid w:val="001444B5"/>
    <w:rsid w:val="00144C35"/>
    <w:rsid w:val="001D243E"/>
    <w:rsid w:val="001D457B"/>
    <w:rsid w:val="00211EFD"/>
    <w:rsid w:val="0022431E"/>
    <w:rsid w:val="002622B7"/>
    <w:rsid w:val="00272128"/>
    <w:rsid w:val="00295E11"/>
    <w:rsid w:val="0029679D"/>
    <w:rsid w:val="002A24EE"/>
    <w:rsid w:val="002A3C2A"/>
    <w:rsid w:val="003241DF"/>
    <w:rsid w:val="0032628C"/>
    <w:rsid w:val="00340587"/>
    <w:rsid w:val="00342FBA"/>
    <w:rsid w:val="00343418"/>
    <w:rsid w:val="00344942"/>
    <w:rsid w:val="00355F50"/>
    <w:rsid w:val="00357C00"/>
    <w:rsid w:val="003C0E55"/>
    <w:rsid w:val="003C6201"/>
    <w:rsid w:val="003C6EC8"/>
    <w:rsid w:val="0040495F"/>
    <w:rsid w:val="0042353B"/>
    <w:rsid w:val="00473A76"/>
    <w:rsid w:val="00485E12"/>
    <w:rsid w:val="004902C6"/>
    <w:rsid w:val="004A3B75"/>
    <w:rsid w:val="004B4191"/>
    <w:rsid w:val="004E2627"/>
    <w:rsid w:val="005509CD"/>
    <w:rsid w:val="005956B6"/>
    <w:rsid w:val="00597F8C"/>
    <w:rsid w:val="005B7868"/>
    <w:rsid w:val="005D3524"/>
    <w:rsid w:val="005F1530"/>
    <w:rsid w:val="00656C0C"/>
    <w:rsid w:val="006F0541"/>
    <w:rsid w:val="006F7305"/>
    <w:rsid w:val="0072242C"/>
    <w:rsid w:val="007329C4"/>
    <w:rsid w:val="007748A4"/>
    <w:rsid w:val="0077704A"/>
    <w:rsid w:val="0079188C"/>
    <w:rsid w:val="007A0AF0"/>
    <w:rsid w:val="0090317E"/>
    <w:rsid w:val="00913D00"/>
    <w:rsid w:val="009147CF"/>
    <w:rsid w:val="00920457"/>
    <w:rsid w:val="00922CC3"/>
    <w:rsid w:val="009256C0"/>
    <w:rsid w:val="00953B04"/>
    <w:rsid w:val="00993E4A"/>
    <w:rsid w:val="009D6CDE"/>
    <w:rsid w:val="00A0384C"/>
    <w:rsid w:val="00A17A00"/>
    <w:rsid w:val="00A514A3"/>
    <w:rsid w:val="00A54639"/>
    <w:rsid w:val="00A6317B"/>
    <w:rsid w:val="00A92B0C"/>
    <w:rsid w:val="00A92E98"/>
    <w:rsid w:val="00B208F3"/>
    <w:rsid w:val="00B24B32"/>
    <w:rsid w:val="00B27861"/>
    <w:rsid w:val="00BD087B"/>
    <w:rsid w:val="00BD55CB"/>
    <w:rsid w:val="00C94AF9"/>
    <w:rsid w:val="00CA3996"/>
    <w:rsid w:val="00D97097"/>
    <w:rsid w:val="00DA4BF6"/>
    <w:rsid w:val="00E15377"/>
    <w:rsid w:val="00E515EB"/>
    <w:rsid w:val="00EC5327"/>
    <w:rsid w:val="00F10882"/>
    <w:rsid w:val="00F33C00"/>
    <w:rsid w:val="00F514B8"/>
    <w:rsid w:val="00F53892"/>
    <w:rsid w:val="00F673F4"/>
    <w:rsid w:val="00F844B3"/>
    <w:rsid w:val="00FA4EDC"/>
    <w:rsid w:val="00FD2B4E"/>
    <w:rsid w:val="00FF55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B60F0"/>
  <w15:chartTrackingRefBased/>
  <w15:docId w15:val="{8D523697-9C05-42C5-8F90-BC3A999F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E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C6EC8"/>
    <w:pPr>
      <w:spacing w:after="0" w:line="240" w:lineRule="auto"/>
    </w:pPr>
    <w:rPr>
      <w:rFonts w:ascii="Calibri" w:eastAsia="Calibri" w:hAnsi="Calibri" w:cs="Arial"/>
      <w:sz w:val="20"/>
      <w:szCs w:val="20"/>
      <w:lang w:val="en-ZA" w:bidi="he-IL"/>
    </w:rPr>
  </w:style>
  <w:style w:type="character" w:customStyle="1" w:styleId="FootnoteTextChar">
    <w:name w:val="Footnote Text Char"/>
    <w:basedOn w:val="DefaultParagraphFont"/>
    <w:link w:val="FootnoteText"/>
    <w:uiPriority w:val="99"/>
    <w:semiHidden/>
    <w:rsid w:val="003C6EC8"/>
    <w:rPr>
      <w:rFonts w:ascii="Calibri" w:eastAsia="Calibri" w:hAnsi="Calibri" w:cs="Arial"/>
      <w:sz w:val="20"/>
      <w:szCs w:val="20"/>
      <w:lang w:val="en-ZA" w:bidi="he-IL"/>
    </w:rPr>
  </w:style>
  <w:style w:type="character" w:styleId="FootnoteReference">
    <w:name w:val="footnote reference"/>
    <w:basedOn w:val="DefaultParagraphFont"/>
    <w:uiPriority w:val="99"/>
    <w:semiHidden/>
    <w:unhideWhenUsed/>
    <w:rsid w:val="003C6EC8"/>
    <w:rPr>
      <w:vertAlign w:val="superscript"/>
    </w:rPr>
  </w:style>
  <w:style w:type="paragraph" w:styleId="Header">
    <w:name w:val="header"/>
    <w:basedOn w:val="Normal"/>
    <w:link w:val="HeaderChar"/>
    <w:uiPriority w:val="99"/>
    <w:unhideWhenUsed/>
    <w:rsid w:val="003C6E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6EC8"/>
  </w:style>
  <w:style w:type="paragraph" w:styleId="Footer">
    <w:name w:val="footer"/>
    <w:basedOn w:val="Normal"/>
    <w:link w:val="FooterChar"/>
    <w:uiPriority w:val="99"/>
    <w:unhideWhenUsed/>
    <w:rsid w:val="003C6E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6EC8"/>
  </w:style>
  <w:style w:type="paragraph" w:styleId="ListParagraph">
    <w:name w:val="List Paragraph"/>
    <w:basedOn w:val="Normal"/>
    <w:uiPriority w:val="34"/>
    <w:qFormat/>
    <w:rsid w:val="00993E4A"/>
    <w:pPr>
      <w:ind w:left="720"/>
      <w:contextualSpacing/>
    </w:pPr>
  </w:style>
  <w:style w:type="character" w:styleId="Hyperlink">
    <w:name w:val="Hyperlink"/>
    <w:basedOn w:val="DefaultParagraphFont"/>
    <w:uiPriority w:val="99"/>
    <w:unhideWhenUsed/>
    <w:rsid w:val="00953B04"/>
    <w:rPr>
      <w:color w:val="0563C1" w:themeColor="hyperlink"/>
      <w:u w:val="single"/>
    </w:rPr>
  </w:style>
  <w:style w:type="character" w:styleId="UnresolvedMention">
    <w:name w:val="Unresolved Mention"/>
    <w:basedOn w:val="DefaultParagraphFont"/>
    <w:uiPriority w:val="99"/>
    <w:semiHidden/>
    <w:unhideWhenUsed/>
    <w:rsid w:val="00953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0953-8424" TargetMode="External"/><Relationship Id="rId13" Type="http://schemas.openxmlformats.org/officeDocument/2006/relationships/hyperlink" Target="mailto:godinj@unisa.ac.za" TargetMode="External"/><Relationship Id="rId18" Type="http://schemas.openxmlformats.org/officeDocument/2006/relationships/hyperlink" Target="https://www.iisa.co.za/" TargetMode="External"/><Relationship Id="rId3" Type="http://schemas.openxmlformats.org/officeDocument/2006/relationships/settings" Target="settings.xml"/><Relationship Id="rId21" Type="http://schemas.openxmlformats.org/officeDocument/2006/relationships/hyperlink" Target="http://www.saifm.co.za" TargetMode="External"/><Relationship Id="rId7" Type="http://schemas.openxmlformats.org/officeDocument/2006/relationships/hyperlink" Target="mailto:sibinab@unisa.ac.za" TargetMode="External"/><Relationship Id="rId12" Type="http://schemas.openxmlformats.org/officeDocument/2006/relationships/hyperlink" Target="mailto:nyokac@unisa.ac.za" TargetMode="External"/><Relationship Id="rId17" Type="http://schemas.openxmlformats.org/officeDocument/2006/relationships/hyperlink" Target="http://www.africagrowth.com/event_conf.htm" TargetMode="External"/><Relationship Id="rId2" Type="http://schemas.openxmlformats.org/officeDocument/2006/relationships/styles" Target="styles.xml"/><Relationship Id="rId16" Type="http://schemas.openxmlformats.org/officeDocument/2006/relationships/hyperlink" Target="http://www.ajol.info/" TargetMode="External"/><Relationship Id="rId20" Type="http://schemas.openxmlformats.org/officeDocument/2006/relationships/hyperlink" Target="http://www.bis.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rcid.org/0000-0002-8923-1424" TargetMode="External"/><Relationship Id="rId5" Type="http://schemas.openxmlformats.org/officeDocument/2006/relationships/footnotes" Target="footnotes.xml"/><Relationship Id="rId15" Type="http://schemas.openxmlformats.org/officeDocument/2006/relationships/hyperlink" Target="https://doaj.org/" TargetMode="External"/><Relationship Id="rId23" Type="http://schemas.openxmlformats.org/officeDocument/2006/relationships/theme" Target="theme/theme1.xml"/><Relationship Id="rId10" Type="http://schemas.openxmlformats.org/officeDocument/2006/relationships/hyperlink" Target="mailto:chisaj@unisa.ac.za" TargetMode="External"/><Relationship Id="rId19" Type="http://schemas.openxmlformats.org/officeDocument/2006/relationships/hyperlink" Target="http://aria.org/events/" TargetMode="External"/><Relationship Id="rId4" Type="http://schemas.openxmlformats.org/officeDocument/2006/relationships/webSettings" Target="webSettings.xml"/><Relationship Id="rId9" Type="http://schemas.openxmlformats.org/officeDocument/2006/relationships/hyperlink" Target="http://hdl.handle.net/10500/20122" TargetMode="External"/><Relationship Id="rId14" Type="http://schemas.openxmlformats.org/officeDocument/2006/relationships/hyperlink" Target="https://orcid.org/0000-0001-5871-850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1298</Words>
  <Characters>7402</Characters>
  <Application>Microsoft Office Word</Application>
  <DocSecurity>0</DocSecurity>
  <Lines>61</Lines>
  <Paragraphs>17</Paragraphs>
  <ScaleCrop>false</ScaleCrop>
  <Company>UNISA</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Sibindi, Athenia</dc:creator>
  <cp:keywords/>
  <dc:description/>
  <cp:lastModifiedBy>Amusako</cp:lastModifiedBy>
  <cp:revision>2</cp:revision>
  <dcterms:created xsi:type="dcterms:W3CDTF">2023-04-24T12:45:00Z</dcterms:created>
  <dcterms:modified xsi:type="dcterms:W3CDTF">2023-04-24T12:45:00Z</dcterms:modified>
</cp:coreProperties>
</file>