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458C" w:rsidRPr="00520955" w:rsidRDefault="0026458C" w:rsidP="0026458C">
      <w:pPr>
        <w:rPr>
          <w:rFonts w:cstheme="minorHAnsi"/>
          <w:sz w:val="24"/>
          <w:szCs w:val="24"/>
        </w:rPr>
      </w:pPr>
      <w:r w:rsidRPr="00520955">
        <w:rPr>
          <w:rFonts w:cstheme="minorHAnsi"/>
          <w:sz w:val="24"/>
          <w:szCs w:val="24"/>
        </w:rPr>
        <w:t>DEPARTMENT OF PUBLIC ADMINISTRATION AND MANAGEMENT</w:t>
      </w:r>
    </w:p>
    <w:p w:rsidR="0026458C" w:rsidRPr="00520955" w:rsidRDefault="6CFF0F54" w:rsidP="6CFF0F54">
      <w:pPr>
        <w:rPr>
          <w:color w:val="000000" w:themeColor="text1"/>
          <w:sz w:val="24"/>
          <w:szCs w:val="24"/>
        </w:rPr>
      </w:pPr>
      <w:r w:rsidRPr="6CFF0F54">
        <w:rPr>
          <w:sz w:val="24"/>
          <w:szCs w:val="24"/>
        </w:rPr>
        <w:t xml:space="preserve">RESEARCH FOCUS AREAS FOR MASTER’S AND DOCTORAL STUDIES </w:t>
      </w:r>
      <w:r w:rsidRPr="6CFF0F54">
        <w:rPr>
          <w:color w:val="000000" w:themeColor="text1"/>
          <w:sz w:val="24"/>
          <w:szCs w:val="24"/>
        </w:rPr>
        <w:t>202</w:t>
      </w:r>
      <w:r w:rsidR="00102B87">
        <w:rPr>
          <w:color w:val="000000" w:themeColor="text1"/>
          <w:sz w:val="24"/>
          <w:szCs w:val="24"/>
        </w:rPr>
        <w:t>5</w:t>
      </w:r>
    </w:p>
    <w:p w:rsidR="0026458C" w:rsidRPr="00520955" w:rsidRDefault="0026458C" w:rsidP="0026458C">
      <w:pPr>
        <w:rPr>
          <w:rFonts w:cstheme="minorHAnsi"/>
          <w:b/>
          <w:sz w:val="24"/>
          <w:szCs w:val="24"/>
        </w:rPr>
      </w:pPr>
      <w:r w:rsidRPr="00520955">
        <w:rPr>
          <w:rFonts w:cstheme="minorHAnsi"/>
          <w:b/>
          <w:sz w:val="24"/>
          <w:szCs w:val="24"/>
        </w:rPr>
        <w:t xml:space="preserve">FOCUS AREA:  </w:t>
      </w:r>
      <w:r w:rsidR="00CC6D22">
        <w:rPr>
          <w:rFonts w:cstheme="minorHAnsi"/>
          <w:b/>
          <w:sz w:val="24"/>
          <w:szCs w:val="24"/>
        </w:rPr>
        <w:t xml:space="preserve">ENVIRONMENTAL GOVERNANCE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1232"/>
        <w:gridCol w:w="4295"/>
        <w:gridCol w:w="1166"/>
      </w:tblGrid>
      <w:tr w:rsidR="0026458C" w:rsidRPr="00520955" w:rsidTr="190122C0">
        <w:trPr>
          <w:trHeight w:val="276"/>
        </w:trPr>
        <w:tc>
          <w:tcPr>
            <w:tcW w:w="3748"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Department</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sz w:val="20"/>
                <w:szCs w:val="20"/>
              </w:rPr>
            </w:pPr>
            <w:r w:rsidRPr="00520955">
              <w:rPr>
                <w:rFonts w:cstheme="minorHAnsi"/>
                <w:sz w:val="20"/>
                <w:szCs w:val="20"/>
              </w:rPr>
              <w:t>Department of Public Administration and Management</w:t>
            </w:r>
          </w:p>
        </w:tc>
      </w:tr>
      <w:tr w:rsidR="0026458C" w:rsidRPr="00520955" w:rsidTr="190122C0">
        <w:trPr>
          <w:trHeight w:val="276"/>
        </w:trPr>
        <w:tc>
          <w:tcPr>
            <w:tcW w:w="3748"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Discipline</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sz w:val="20"/>
                <w:szCs w:val="20"/>
              </w:rPr>
            </w:pPr>
            <w:r w:rsidRPr="00520955">
              <w:rPr>
                <w:rFonts w:cstheme="minorHAnsi"/>
                <w:sz w:val="20"/>
                <w:szCs w:val="20"/>
              </w:rPr>
              <w:t>Public Administration</w:t>
            </w:r>
          </w:p>
        </w:tc>
      </w:tr>
      <w:tr w:rsidR="0026458C" w:rsidRPr="00520955" w:rsidTr="190122C0">
        <w:tc>
          <w:tcPr>
            <w:tcW w:w="3748"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Research Focus Area</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CC6D22">
            <w:pPr>
              <w:spacing w:after="0" w:line="240" w:lineRule="auto"/>
              <w:rPr>
                <w:rFonts w:cstheme="minorHAnsi"/>
                <w:b/>
                <w:sz w:val="20"/>
                <w:szCs w:val="20"/>
              </w:rPr>
            </w:pPr>
            <w:r>
              <w:rPr>
                <w:rFonts w:cstheme="minorHAnsi"/>
                <w:b/>
                <w:sz w:val="20"/>
                <w:szCs w:val="20"/>
              </w:rPr>
              <w:t xml:space="preserve">Environmental Governance </w:t>
            </w:r>
          </w:p>
        </w:tc>
      </w:tr>
      <w:tr w:rsidR="00226130" w:rsidRPr="00520955" w:rsidTr="190122C0">
        <w:tc>
          <w:tcPr>
            <w:tcW w:w="3748" w:type="dxa"/>
            <w:gridSpan w:val="2"/>
            <w:tcBorders>
              <w:top w:val="single" w:sz="4" w:space="0" w:color="auto"/>
              <w:left w:val="single" w:sz="4" w:space="0" w:color="auto"/>
              <w:bottom w:val="single" w:sz="4" w:space="0" w:color="auto"/>
              <w:right w:val="single" w:sz="4" w:space="0" w:color="auto"/>
            </w:tcBorders>
          </w:tcPr>
          <w:p w:rsidR="00226130" w:rsidRPr="00520955" w:rsidRDefault="6827C91D" w:rsidP="6827C91D">
            <w:pPr>
              <w:spacing w:after="0" w:line="240" w:lineRule="auto"/>
              <w:rPr>
                <w:b/>
                <w:bCs/>
                <w:sz w:val="20"/>
                <w:szCs w:val="20"/>
              </w:rPr>
            </w:pPr>
            <w:r w:rsidRPr="6827C91D">
              <w:rPr>
                <w:b/>
                <w:bCs/>
                <w:sz w:val="20"/>
                <w:szCs w:val="20"/>
              </w:rPr>
              <w:t>Capacity for 202</w:t>
            </w:r>
            <w:r w:rsidR="00102B87">
              <w:rPr>
                <w:b/>
                <w:bCs/>
                <w:sz w:val="20"/>
                <w:szCs w:val="20"/>
              </w:rPr>
              <w:t>5</w:t>
            </w:r>
          </w:p>
        </w:tc>
        <w:tc>
          <w:tcPr>
            <w:tcW w:w="5461" w:type="dxa"/>
            <w:gridSpan w:val="2"/>
            <w:tcBorders>
              <w:top w:val="single" w:sz="4" w:space="0" w:color="auto"/>
              <w:left w:val="single" w:sz="4" w:space="0" w:color="auto"/>
              <w:bottom w:val="single" w:sz="4" w:space="0" w:color="auto"/>
              <w:right w:val="single" w:sz="4" w:space="0" w:color="auto"/>
            </w:tcBorders>
          </w:tcPr>
          <w:p w:rsidR="00226130" w:rsidRPr="00520955" w:rsidRDefault="00CC6D22">
            <w:pPr>
              <w:spacing w:after="0" w:line="240" w:lineRule="auto"/>
              <w:rPr>
                <w:rFonts w:cstheme="minorHAnsi"/>
                <w:b/>
                <w:sz w:val="20"/>
                <w:szCs w:val="20"/>
              </w:rPr>
            </w:pPr>
            <w:r>
              <w:rPr>
                <w:rFonts w:cstheme="minorHAnsi"/>
                <w:b/>
                <w:sz w:val="20"/>
                <w:szCs w:val="20"/>
              </w:rPr>
              <w:t xml:space="preserve">PhD 6 </w:t>
            </w:r>
            <w:proofErr w:type="gramStart"/>
            <w:r>
              <w:rPr>
                <w:rFonts w:cstheme="minorHAnsi"/>
                <w:b/>
                <w:sz w:val="20"/>
                <w:szCs w:val="20"/>
              </w:rPr>
              <w:t>Masters</w:t>
            </w:r>
            <w:proofErr w:type="gramEnd"/>
            <w:r>
              <w:rPr>
                <w:rFonts w:cstheme="minorHAnsi"/>
                <w:b/>
                <w:sz w:val="20"/>
                <w:szCs w:val="20"/>
              </w:rPr>
              <w:t xml:space="preserve"> 8 </w:t>
            </w:r>
          </w:p>
        </w:tc>
      </w:tr>
      <w:tr w:rsidR="0026458C" w:rsidRPr="00520955" w:rsidTr="190122C0">
        <w:trPr>
          <w:trHeight w:val="190"/>
        </w:trPr>
        <w:tc>
          <w:tcPr>
            <w:tcW w:w="9209" w:type="dxa"/>
            <w:gridSpan w:val="4"/>
            <w:tcBorders>
              <w:top w:val="single" w:sz="4" w:space="0" w:color="auto"/>
              <w:left w:val="nil"/>
              <w:bottom w:val="single" w:sz="4" w:space="0" w:color="auto"/>
              <w:right w:val="nil"/>
            </w:tcBorders>
          </w:tcPr>
          <w:p w:rsidR="0026458C" w:rsidRPr="00520955" w:rsidRDefault="0026458C">
            <w:pPr>
              <w:spacing w:after="0" w:line="240" w:lineRule="auto"/>
              <w:rPr>
                <w:rFonts w:cstheme="minorHAnsi"/>
                <w:b/>
                <w:bCs/>
                <w:sz w:val="20"/>
                <w:szCs w:val="20"/>
              </w:rPr>
            </w:pPr>
          </w:p>
        </w:tc>
      </w:tr>
      <w:tr w:rsidR="0026458C" w:rsidRPr="00520955"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bCs/>
                <w:sz w:val="20"/>
                <w:szCs w:val="20"/>
              </w:rPr>
            </w:pPr>
            <w:r w:rsidRPr="00520955">
              <w:rPr>
                <w:rFonts w:cstheme="minorHAnsi"/>
                <w:b/>
                <w:sz w:val="20"/>
                <w:szCs w:val="20"/>
              </w:rPr>
              <w:t>Supervision Team details:</w:t>
            </w:r>
          </w:p>
        </w:tc>
        <w:tc>
          <w:tcPr>
            <w:tcW w:w="55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Academic Profile</w:t>
            </w:r>
          </w:p>
        </w:tc>
        <w:tc>
          <w:tcPr>
            <w:tcW w:w="1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rsidP="579EF3E8">
            <w:pPr>
              <w:spacing w:after="0" w:line="240" w:lineRule="auto"/>
              <w:rPr>
                <w:b/>
                <w:bCs/>
                <w:sz w:val="20"/>
                <w:szCs w:val="20"/>
              </w:rPr>
            </w:pPr>
            <w:r w:rsidRPr="579EF3E8">
              <w:rPr>
                <w:b/>
                <w:bCs/>
                <w:sz w:val="20"/>
                <w:szCs w:val="20"/>
              </w:rPr>
              <w:t>Capacity</w:t>
            </w:r>
          </w:p>
          <w:p w:rsidR="0026458C" w:rsidRPr="00520955" w:rsidRDefault="0026458C" w:rsidP="579EF3E8">
            <w:pPr>
              <w:spacing w:after="0" w:line="240" w:lineRule="auto"/>
              <w:rPr>
                <w:b/>
                <w:bCs/>
                <w:sz w:val="20"/>
                <w:szCs w:val="20"/>
              </w:rPr>
            </w:pPr>
          </w:p>
        </w:tc>
      </w:tr>
      <w:tr w:rsidR="008B7F56" w:rsidRPr="00FF097D"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auto"/>
          </w:tcPr>
          <w:p w:rsidR="00BA35A1" w:rsidRDefault="00CC6D22">
            <w:pPr>
              <w:spacing w:after="0" w:line="240" w:lineRule="auto"/>
              <w:rPr>
                <w:spacing w:val="-2"/>
              </w:rPr>
            </w:pPr>
            <w:r w:rsidRPr="001C734E">
              <w:rPr>
                <w:spacing w:val="-2"/>
              </w:rPr>
              <w:t>Ngcamu</w:t>
            </w:r>
            <w:r w:rsidRPr="001C734E">
              <w:t xml:space="preserve"> </w:t>
            </w:r>
            <w:r w:rsidRPr="001C734E">
              <w:rPr>
                <w:spacing w:val="-2"/>
              </w:rPr>
              <w:t>Sibongiseni</w:t>
            </w:r>
            <w:r w:rsidRPr="001C734E">
              <w:rPr>
                <w:spacing w:val="3"/>
              </w:rPr>
              <w:t xml:space="preserve"> </w:t>
            </w:r>
            <w:r w:rsidRPr="001C734E">
              <w:rPr>
                <w:spacing w:val="-2"/>
              </w:rPr>
              <w:t>(Prof)</w:t>
            </w:r>
          </w:p>
          <w:p w:rsidR="00CC6D22" w:rsidRDefault="00CC6D22">
            <w:pPr>
              <w:spacing w:after="0" w:line="240" w:lineRule="auto"/>
              <w:rPr>
                <w:rFonts w:cstheme="minorHAnsi"/>
                <w:b/>
                <w:sz w:val="20"/>
                <w:szCs w:val="20"/>
              </w:rPr>
            </w:pPr>
          </w:p>
          <w:p w:rsidR="00BA35A1" w:rsidRDefault="00BA35A1" w:rsidP="00BA35A1">
            <w:pPr>
              <w:spacing w:after="0" w:line="240" w:lineRule="auto"/>
              <w:rPr>
                <w:rFonts w:cstheme="minorHAnsi"/>
                <w:b/>
                <w:sz w:val="20"/>
                <w:szCs w:val="20"/>
              </w:rPr>
            </w:pPr>
            <w:r w:rsidRPr="00520955">
              <w:rPr>
                <w:rFonts w:cstheme="minorHAnsi"/>
                <w:b/>
                <w:sz w:val="20"/>
                <w:szCs w:val="20"/>
              </w:rPr>
              <w:t>(Contact person for this focus area)</w:t>
            </w:r>
          </w:p>
          <w:p w:rsidR="001944D7" w:rsidRPr="0063190E" w:rsidRDefault="0063190E" w:rsidP="00BA35A1">
            <w:pPr>
              <w:spacing w:after="0" w:line="240" w:lineRule="auto"/>
              <w:rPr>
                <w:rFonts w:cstheme="minorHAnsi"/>
                <w:b/>
                <w:sz w:val="20"/>
                <w:szCs w:val="20"/>
                <w:lang w:val="fr-FR"/>
              </w:rPr>
            </w:pPr>
            <w:proofErr w:type="gramStart"/>
            <w:r w:rsidRPr="0063190E">
              <w:rPr>
                <w:rFonts w:cstheme="minorHAnsi"/>
                <w:b/>
                <w:sz w:val="20"/>
                <w:szCs w:val="20"/>
                <w:lang w:val="fr-FR"/>
              </w:rPr>
              <w:t>E-Mail</w:t>
            </w:r>
            <w:proofErr w:type="gramEnd"/>
            <w:r w:rsidRPr="0063190E">
              <w:rPr>
                <w:rFonts w:cstheme="minorHAnsi"/>
                <w:b/>
                <w:sz w:val="20"/>
                <w:szCs w:val="20"/>
                <w:lang w:val="fr-FR"/>
              </w:rPr>
              <w:t xml:space="preserve"> :</w:t>
            </w:r>
            <w:r w:rsidR="001944D7" w:rsidRPr="0063190E">
              <w:rPr>
                <w:rFonts w:cstheme="minorHAnsi"/>
                <w:b/>
                <w:sz w:val="20"/>
                <w:szCs w:val="20"/>
                <w:lang w:val="fr-FR"/>
              </w:rPr>
              <w:t xml:space="preserve"> </w:t>
            </w:r>
            <w:hyperlink r:id="rId5" w:history="1">
              <w:r w:rsidR="00CC6D22" w:rsidRPr="00C72233">
                <w:rPr>
                  <w:rStyle w:val="Hyperlink"/>
                </w:rPr>
                <w:t>ngcambs@unisa.ac.za</w:t>
              </w:r>
            </w:hyperlink>
            <w:r w:rsidR="001944D7" w:rsidRPr="0063190E">
              <w:rPr>
                <w:rFonts w:cstheme="minorHAnsi"/>
                <w:b/>
                <w:sz w:val="20"/>
                <w:szCs w:val="20"/>
                <w:lang w:val="fr-FR"/>
              </w:rPr>
              <w:t xml:space="preserve"> </w:t>
            </w:r>
          </w:p>
          <w:p w:rsidR="00BA35A1" w:rsidRPr="0063190E" w:rsidRDefault="00BA35A1">
            <w:pPr>
              <w:spacing w:after="0" w:line="240" w:lineRule="auto"/>
              <w:rPr>
                <w:rFonts w:cstheme="minorHAnsi"/>
                <w:b/>
                <w:sz w:val="20"/>
                <w:szCs w:val="20"/>
                <w:lang w:val="fr-FR"/>
              </w:rPr>
            </w:pPr>
            <w:r w:rsidRPr="0063190E">
              <w:rPr>
                <w:rFonts w:cstheme="minorHAnsi"/>
                <w:b/>
                <w:sz w:val="20"/>
                <w:szCs w:val="20"/>
                <w:lang w:val="fr-FR"/>
              </w:rPr>
              <w:t xml:space="preserve"> </w:t>
            </w:r>
          </w:p>
          <w:p w:rsidR="00F229A0" w:rsidRDefault="00F229A0" w:rsidP="00F229A0">
            <w:pPr>
              <w:spacing w:line="252" w:lineRule="auto"/>
              <w:rPr>
                <w:rFonts w:ascii="Calibri" w:hAnsi="Calibri" w:cs="Calibri"/>
                <w:sz w:val="20"/>
                <w:szCs w:val="20"/>
                <w:lang w:bidi="ar-SA"/>
              </w:rPr>
            </w:pPr>
            <w:r>
              <w:rPr>
                <w:rFonts w:ascii="Calibri" w:hAnsi="Calibri" w:cs="Calibri"/>
                <w:b/>
                <w:bCs/>
                <w:color w:val="000000"/>
                <w:sz w:val="20"/>
                <w:szCs w:val="20"/>
              </w:rPr>
              <w:t>Physical address:</w:t>
            </w:r>
            <w:r>
              <w:rPr>
                <w:rFonts w:ascii="Calibri" w:hAnsi="Calibri" w:cs="Calibri"/>
                <w:color w:val="000000"/>
                <w:sz w:val="20"/>
                <w:szCs w:val="20"/>
              </w:rPr>
              <w:t xml:space="preserve">  Nkoana Simon </w:t>
            </w:r>
            <w:proofErr w:type="spellStart"/>
            <w:r>
              <w:rPr>
                <w:rFonts w:ascii="Calibri" w:hAnsi="Calibri" w:cs="Calibri"/>
                <w:color w:val="000000"/>
                <w:sz w:val="20"/>
                <w:szCs w:val="20"/>
              </w:rPr>
              <w:t>Radipere</w:t>
            </w:r>
            <w:proofErr w:type="spellEnd"/>
            <w:r>
              <w:rPr>
                <w:rFonts w:ascii="Calibri" w:hAnsi="Calibri" w:cs="Calibri"/>
                <w:color w:val="000000"/>
                <w:sz w:val="20"/>
                <w:szCs w:val="20"/>
              </w:rPr>
              <w:t xml:space="preserve"> Building, </w:t>
            </w:r>
            <w:r>
              <w:rPr>
                <w:rFonts w:ascii="Calibri" w:hAnsi="Calibri" w:cs="Calibri"/>
                <w:color w:val="000000"/>
                <w:sz w:val="20"/>
                <w:szCs w:val="20"/>
              </w:rPr>
              <w:br/>
              <w:t>Room 4-</w:t>
            </w:r>
            <w:r w:rsidR="00CC6D22">
              <w:rPr>
                <w:rFonts w:ascii="Calibri" w:hAnsi="Calibri" w:cs="Calibri"/>
                <w:color w:val="000000"/>
                <w:sz w:val="20"/>
                <w:szCs w:val="20"/>
              </w:rPr>
              <w:t>111</w:t>
            </w:r>
            <w:r>
              <w:rPr>
                <w:rFonts w:ascii="Calibri" w:hAnsi="Calibri" w:cs="Calibri"/>
                <w:color w:val="000000"/>
                <w:sz w:val="20"/>
                <w:szCs w:val="20"/>
              </w:rPr>
              <w:t xml:space="preserve"> | Preller Street | </w:t>
            </w:r>
            <w:proofErr w:type="spellStart"/>
            <w:r>
              <w:rPr>
                <w:rFonts w:ascii="Calibri" w:hAnsi="Calibri" w:cs="Calibri"/>
                <w:color w:val="000000"/>
                <w:sz w:val="20"/>
                <w:szCs w:val="20"/>
              </w:rPr>
              <w:t>Muckleneuk</w:t>
            </w:r>
            <w:proofErr w:type="spellEnd"/>
            <w:r>
              <w:rPr>
                <w:rFonts w:ascii="Calibri" w:hAnsi="Calibri" w:cs="Calibri"/>
                <w:color w:val="000000"/>
                <w:sz w:val="20"/>
                <w:szCs w:val="20"/>
              </w:rPr>
              <w:t xml:space="preserve"> | Pretoria | </w:t>
            </w:r>
            <w:proofErr w:type="gramStart"/>
            <w:r>
              <w:rPr>
                <w:rFonts w:ascii="Calibri" w:hAnsi="Calibri" w:cs="Calibri"/>
                <w:color w:val="000000"/>
                <w:sz w:val="20"/>
                <w:szCs w:val="20"/>
              </w:rPr>
              <w:t>0002</w:t>
            </w:r>
            <w:proofErr w:type="gramEnd"/>
          </w:p>
          <w:p w:rsidR="00F229A0" w:rsidRDefault="00F229A0">
            <w:pPr>
              <w:spacing w:after="0" w:line="240" w:lineRule="auto"/>
              <w:rPr>
                <w:rFonts w:cstheme="minorHAnsi"/>
                <w:b/>
                <w:sz w:val="20"/>
                <w:szCs w:val="20"/>
              </w:rPr>
            </w:pPr>
          </w:p>
          <w:p w:rsidR="00BA35A1" w:rsidRPr="00520955" w:rsidRDefault="00BA35A1">
            <w:pPr>
              <w:spacing w:after="0" w:line="240" w:lineRule="auto"/>
              <w:rPr>
                <w:rFonts w:cstheme="minorHAnsi"/>
                <w:b/>
                <w:sz w:val="20"/>
                <w:szCs w:val="20"/>
              </w:rPr>
            </w:pPr>
          </w:p>
        </w:tc>
        <w:tc>
          <w:tcPr>
            <w:tcW w:w="5527" w:type="dxa"/>
            <w:gridSpan w:val="2"/>
            <w:tcBorders>
              <w:top w:val="single" w:sz="4" w:space="0" w:color="auto"/>
              <w:left w:val="single" w:sz="4" w:space="0" w:color="auto"/>
              <w:bottom w:val="single" w:sz="4" w:space="0" w:color="auto"/>
              <w:right w:val="single" w:sz="4" w:space="0" w:color="auto"/>
            </w:tcBorders>
            <w:shd w:val="clear" w:color="auto" w:fill="auto"/>
          </w:tcPr>
          <w:p w:rsidR="005A7784" w:rsidRPr="00B75960" w:rsidRDefault="00DB488D" w:rsidP="00B75960">
            <w:pPr>
              <w:autoSpaceDE w:val="0"/>
              <w:autoSpaceDN w:val="0"/>
              <w:adjustRightInd w:val="0"/>
              <w:spacing w:after="0" w:line="240" w:lineRule="auto"/>
              <w:contextualSpacing/>
              <w:jc w:val="both"/>
              <w:rPr>
                <w:rFonts w:cs="PalatinoLinotype-Roman"/>
                <w:i/>
                <w:sz w:val="20"/>
                <w:szCs w:val="20"/>
              </w:rPr>
            </w:pPr>
            <w:r>
              <w:rPr>
                <w:rFonts w:eastAsia="Times New Roman" w:cstheme="minorHAnsi"/>
                <w:sz w:val="20"/>
                <w:szCs w:val="20"/>
              </w:rPr>
              <w:t>Professor Bethuel Sibongiseni Ngcamu holds two PhDs in education and public management. He started his career as a geography teacher in a secondary school and joined the eThekwini Municipality as a Consultant to the City Manager on Research and a Management Advisor where he managed a myriad of projects and conducted change management interventions. Prof Ngcamu is currently an Associate Professor: Public Administration and Management at the University of South Africa. He is the former Head of Department: Public Management and Leadership at the Nelson Mandela University. He has authored and co-authored more than 50 publications including peer-reviewed journal articles, book, book chapters and peer reviewed conference papers on governance and disaster risk management in South Africa and beyond. He has won various best researcher awards at different universities.</w:t>
            </w:r>
          </w:p>
        </w:tc>
        <w:tc>
          <w:tcPr>
            <w:tcW w:w="1166" w:type="dxa"/>
            <w:tcBorders>
              <w:top w:val="single" w:sz="4" w:space="0" w:color="auto"/>
              <w:left w:val="single" w:sz="4" w:space="0" w:color="auto"/>
              <w:bottom w:val="single" w:sz="4" w:space="0" w:color="auto"/>
              <w:right w:val="single" w:sz="4" w:space="0" w:color="auto"/>
            </w:tcBorders>
            <w:shd w:val="clear" w:color="auto" w:fill="auto"/>
          </w:tcPr>
          <w:p w:rsidR="008B7F56" w:rsidRDefault="008B7F56" w:rsidP="579EF3E8">
            <w:pPr>
              <w:spacing w:after="0" w:line="240" w:lineRule="auto"/>
              <w:rPr>
                <w:b/>
                <w:bCs/>
                <w:sz w:val="20"/>
                <w:szCs w:val="20"/>
              </w:rPr>
            </w:pPr>
          </w:p>
          <w:p w:rsidR="00B20531" w:rsidRDefault="00CC6D22" w:rsidP="579EF3E8">
            <w:pPr>
              <w:spacing w:after="0" w:line="240" w:lineRule="auto"/>
              <w:rPr>
                <w:b/>
                <w:bCs/>
                <w:sz w:val="20"/>
                <w:szCs w:val="20"/>
              </w:rPr>
            </w:pPr>
            <w:r>
              <w:rPr>
                <w:b/>
                <w:bCs/>
                <w:sz w:val="20"/>
                <w:szCs w:val="20"/>
              </w:rPr>
              <w:t>4</w:t>
            </w:r>
            <w:r w:rsidR="00B20531">
              <w:rPr>
                <w:b/>
                <w:bCs/>
                <w:sz w:val="20"/>
                <w:szCs w:val="20"/>
              </w:rPr>
              <w:t xml:space="preserve"> PhD’s</w:t>
            </w:r>
          </w:p>
          <w:p w:rsidR="00B20531" w:rsidRPr="00FF097D" w:rsidRDefault="00CC6D22" w:rsidP="579EF3E8">
            <w:pPr>
              <w:spacing w:after="0" w:line="240" w:lineRule="auto"/>
              <w:rPr>
                <w:b/>
                <w:bCs/>
                <w:sz w:val="20"/>
                <w:szCs w:val="20"/>
              </w:rPr>
            </w:pPr>
            <w:r>
              <w:rPr>
                <w:b/>
                <w:bCs/>
                <w:sz w:val="20"/>
                <w:szCs w:val="20"/>
              </w:rPr>
              <w:t>4</w:t>
            </w:r>
            <w:r w:rsidR="00B20531">
              <w:rPr>
                <w:b/>
                <w:bCs/>
                <w:sz w:val="20"/>
                <w:szCs w:val="20"/>
              </w:rPr>
              <w:t>Masters</w:t>
            </w:r>
          </w:p>
        </w:tc>
      </w:tr>
      <w:tr w:rsidR="0026458C" w:rsidRPr="00520955" w:rsidTr="190122C0">
        <w:trPr>
          <w:trHeight w:val="1358"/>
        </w:trPr>
        <w:tc>
          <w:tcPr>
            <w:tcW w:w="2516" w:type="dxa"/>
            <w:tcBorders>
              <w:top w:val="single" w:sz="4" w:space="0" w:color="auto"/>
              <w:left w:val="single" w:sz="4" w:space="0" w:color="auto"/>
              <w:bottom w:val="single" w:sz="4" w:space="0" w:color="auto"/>
              <w:right w:val="single" w:sz="4" w:space="0" w:color="auto"/>
            </w:tcBorders>
          </w:tcPr>
          <w:p w:rsidR="0026458C" w:rsidRPr="00520955" w:rsidRDefault="00CC6D22">
            <w:pPr>
              <w:spacing w:after="0" w:line="240" w:lineRule="auto"/>
              <w:rPr>
                <w:rFonts w:cstheme="minorHAnsi"/>
                <w:b/>
                <w:bCs/>
                <w:sz w:val="20"/>
                <w:szCs w:val="20"/>
              </w:rPr>
            </w:pPr>
            <w:r w:rsidRPr="001C734E">
              <w:t>Nkwana</w:t>
            </w:r>
            <w:r w:rsidRPr="001C734E">
              <w:rPr>
                <w:spacing w:val="-13"/>
              </w:rPr>
              <w:t xml:space="preserve"> </w:t>
            </w:r>
            <w:r w:rsidRPr="001C734E">
              <w:t>Mapula</w:t>
            </w:r>
            <w:r w:rsidRPr="001C734E">
              <w:rPr>
                <w:spacing w:val="-12"/>
              </w:rPr>
              <w:t xml:space="preserve"> </w:t>
            </w:r>
            <w:r w:rsidRPr="001C734E">
              <w:rPr>
                <w:spacing w:val="-2"/>
              </w:rPr>
              <w:t>(Prof)</w:t>
            </w:r>
          </w:p>
          <w:p w:rsidR="00CC6D22" w:rsidRDefault="0026458C">
            <w:pPr>
              <w:spacing w:after="0" w:line="240" w:lineRule="auto"/>
              <w:rPr>
                <w:rFonts w:eastAsia="Calibri" w:cstheme="minorHAnsi"/>
                <w:sz w:val="20"/>
                <w:szCs w:val="20"/>
              </w:rPr>
            </w:pPr>
            <w:r w:rsidRPr="00520955">
              <w:rPr>
                <w:rFonts w:cstheme="minorHAnsi"/>
                <w:sz w:val="20"/>
                <w:szCs w:val="20"/>
              </w:rPr>
              <w:t xml:space="preserve">Office: </w:t>
            </w:r>
            <w:r w:rsidRPr="00520955">
              <w:rPr>
                <w:rFonts w:eastAsia="Calibri" w:cstheme="minorHAnsi"/>
                <w:sz w:val="20"/>
                <w:szCs w:val="20"/>
              </w:rPr>
              <w:t>Nkoana Simon</w:t>
            </w:r>
          </w:p>
          <w:p w:rsidR="00CC6D22" w:rsidRDefault="00CC6D22">
            <w:pPr>
              <w:spacing w:after="0" w:line="240" w:lineRule="auto"/>
              <w:rPr>
                <w:rFonts w:eastAsia="Calibri" w:cstheme="minorHAnsi"/>
                <w:sz w:val="20"/>
                <w:szCs w:val="20"/>
              </w:rPr>
            </w:pPr>
          </w:p>
          <w:p w:rsidR="00CC6D22" w:rsidRDefault="00CC6D22" w:rsidP="00CC6D22">
            <w:pPr>
              <w:spacing w:line="252" w:lineRule="auto"/>
              <w:rPr>
                <w:rFonts w:ascii="Calibri" w:hAnsi="Calibri" w:cs="Calibri"/>
                <w:sz w:val="20"/>
                <w:szCs w:val="20"/>
                <w:lang w:bidi="ar-SA"/>
              </w:rPr>
            </w:pPr>
            <w:r>
              <w:rPr>
                <w:rFonts w:ascii="Calibri" w:hAnsi="Calibri" w:cs="Calibri"/>
                <w:b/>
                <w:bCs/>
                <w:color w:val="000000"/>
                <w:sz w:val="20"/>
                <w:szCs w:val="20"/>
              </w:rPr>
              <w:t>Physical address:</w:t>
            </w:r>
            <w:r>
              <w:rPr>
                <w:rFonts w:ascii="Calibri" w:hAnsi="Calibri" w:cs="Calibri"/>
                <w:color w:val="000000"/>
                <w:sz w:val="20"/>
                <w:szCs w:val="20"/>
              </w:rPr>
              <w:t xml:space="preserve">  Nkoana Simon </w:t>
            </w:r>
            <w:proofErr w:type="spellStart"/>
            <w:r>
              <w:rPr>
                <w:rFonts w:ascii="Calibri" w:hAnsi="Calibri" w:cs="Calibri"/>
                <w:color w:val="000000"/>
                <w:sz w:val="20"/>
                <w:szCs w:val="20"/>
              </w:rPr>
              <w:t>Radipere</w:t>
            </w:r>
            <w:proofErr w:type="spellEnd"/>
            <w:r>
              <w:rPr>
                <w:rFonts w:ascii="Calibri" w:hAnsi="Calibri" w:cs="Calibri"/>
                <w:color w:val="000000"/>
                <w:sz w:val="20"/>
                <w:szCs w:val="20"/>
              </w:rPr>
              <w:t xml:space="preserve"> Building, </w:t>
            </w:r>
            <w:r>
              <w:rPr>
                <w:rFonts w:ascii="Calibri" w:hAnsi="Calibri" w:cs="Calibri"/>
                <w:color w:val="000000"/>
                <w:sz w:val="20"/>
                <w:szCs w:val="20"/>
              </w:rPr>
              <w:br/>
              <w:t xml:space="preserve">Room 4-111 | Preller Street | </w:t>
            </w:r>
            <w:proofErr w:type="spellStart"/>
            <w:r>
              <w:rPr>
                <w:rFonts w:ascii="Calibri" w:hAnsi="Calibri" w:cs="Calibri"/>
                <w:color w:val="000000"/>
                <w:sz w:val="20"/>
                <w:szCs w:val="20"/>
              </w:rPr>
              <w:t>Muckleneuk</w:t>
            </w:r>
            <w:proofErr w:type="spellEnd"/>
            <w:r>
              <w:rPr>
                <w:rFonts w:ascii="Calibri" w:hAnsi="Calibri" w:cs="Calibri"/>
                <w:color w:val="000000"/>
                <w:sz w:val="20"/>
                <w:szCs w:val="20"/>
              </w:rPr>
              <w:t xml:space="preserve"> | Pretoria | </w:t>
            </w:r>
            <w:proofErr w:type="gramStart"/>
            <w:r>
              <w:rPr>
                <w:rFonts w:ascii="Calibri" w:hAnsi="Calibri" w:cs="Calibri"/>
                <w:color w:val="000000"/>
                <w:sz w:val="20"/>
                <w:szCs w:val="20"/>
              </w:rPr>
              <w:t>0002</w:t>
            </w:r>
            <w:proofErr w:type="gramEnd"/>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 xml:space="preserve">Email: </w:t>
            </w:r>
            <w:hyperlink r:id="rId6" w:history="1">
              <w:r w:rsidRPr="00520955">
                <w:rPr>
                  <w:rStyle w:val="Hyperlink"/>
                  <w:rFonts w:cstheme="minorHAnsi"/>
                  <w:color w:val="0000FF"/>
                  <w:sz w:val="20"/>
                  <w:szCs w:val="20"/>
                </w:rPr>
                <w:t>v</w:t>
              </w:r>
              <w:hyperlink r:id="rId7" w:history="1">
                <w:r w:rsidR="00CC6D22" w:rsidRPr="00C72233">
                  <w:rPr>
                    <w:rStyle w:val="Hyperlink"/>
                  </w:rPr>
                  <w:t>nkwanm@unisa.ac.za</w:t>
                </w:r>
              </w:hyperlink>
              <w:r w:rsidR="00CC6D22">
                <w:t xml:space="preserve"> </w:t>
              </w:r>
            </w:hyperlink>
            <w:r w:rsidRPr="00520955">
              <w:rPr>
                <w:rFonts w:cstheme="minorHAnsi"/>
                <w:sz w:val="20"/>
                <w:szCs w:val="20"/>
              </w:rPr>
              <w:t xml:space="preserve"> </w:t>
            </w:r>
          </w:p>
          <w:p w:rsidR="0026458C" w:rsidRPr="00520955" w:rsidRDefault="0026458C">
            <w:pPr>
              <w:spacing w:after="0" w:line="240" w:lineRule="auto"/>
              <w:rPr>
                <w:rFonts w:cstheme="minorHAnsi"/>
                <w:sz w:val="20"/>
                <w:szCs w:val="20"/>
              </w:rPr>
            </w:pPr>
            <w:r w:rsidRPr="00520955">
              <w:rPr>
                <w:rFonts w:cstheme="minorHAnsi"/>
                <w:sz w:val="20"/>
                <w:szCs w:val="20"/>
              </w:rPr>
              <w:t xml:space="preserve"> </w:t>
            </w:r>
          </w:p>
        </w:tc>
        <w:tc>
          <w:tcPr>
            <w:tcW w:w="5527" w:type="dxa"/>
            <w:gridSpan w:val="2"/>
            <w:tcBorders>
              <w:top w:val="single" w:sz="4" w:space="0" w:color="auto"/>
              <w:left w:val="single" w:sz="4" w:space="0" w:color="auto"/>
              <w:bottom w:val="single" w:sz="4" w:space="0" w:color="auto"/>
              <w:right w:val="single" w:sz="4" w:space="0" w:color="auto"/>
            </w:tcBorders>
          </w:tcPr>
          <w:p w:rsidR="00CC6D22" w:rsidRDefault="00CC6D22" w:rsidP="00CC6D22">
            <w:pPr>
              <w:spacing w:after="0" w:line="240" w:lineRule="auto"/>
              <w:rPr>
                <w:b/>
                <w:bCs/>
                <w:sz w:val="20"/>
                <w:szCs w:val="20"/>
              </w:rPr>
            </w:pPr>
            <w:r>
              <w:rPr>
                <w:b/>
                <w:bCs/>
                <w:sz w:val="20"/>
                <w:szCs w:val="20"/>
              </w:rPr>
              <w:t>Academic Profile</w:t>
            </w:r>
          </w:p>
          <w:p w:rsidR="0026458C" w:rsidRPr="00520955" w:rsidRDefault="00CC6D22" w:rsidP="00CC6D22">
            <w:pPr>
              <w:spacing w:after="0" w:line="240" w:lineRule="auto"/>
              <w:jc w:val="both"/>
              <w:rPr>
                <w:rFonts w:cstheme="minorHAnsi"/>
                <w:sz w:val="20"/>
                <w:szCs w:val="20"/>
              </w:rPr>
            </w:pPr>
            <w:r w:rsidRPr="004144EA">
              <w:rPr>
                <w:sz w:val="20"/>
                <w:szCs w:val="20"/>
              </w:rPr>
              <w:t xml:space="preserve">Hunadi Mapula Nkwana is an Associate Professor in the Department of Public Administration and Management at the University of South Africa. She holds a Doctor of Administration degree in Public Administration from the University of Pretoria (UP) with a thesis titled </w:t>
            </w:r>
            <w:proofErr w:type="gramStart"/>
            <w:r w:rsidRPr="004144EA">
              <w:rPr>
                <w:sz w:val="20"/>
                <w:szCs w:val="20"/>
              </w:rPr>
              <w:t>‘ A</w:t>
            </w:r>
            <w:proofErr w:type="gramEnd"/>
            <w:r w:rsidRPr="004144EA">
              <w:rPr>
                <w:sz w:val="20"/>
                <w:szCs w:val="20"/>
              </w:rPr>
              <w:t xml:space="preserve"> multisectoral public policy framework for food security in South Africa’. She completed her Masters, Honours and undergraduate degrees specialising in Public Administration and Public Management. Her research area is focused on public policy formulation and implementation specifically </w:t>
            </w:r>
            <w:proofErr w:type="gramStart"/>
            <w:r w:rsidRPr="004144EA">
              <w:rPr>
                <w:sz w:val="20"/>
                <w:szCs w:val="20"/>
              </w:rPr>
              <w:t>with regard to</w:t>
            </w:r>
            <w:proofErr w:type="gramEnd"/>
            <w:r w:rsidRPr="004144EA">
              <w:rPr>
                <w:sz w:val="20"/>
                <w:szCs w:val="20"/>
              </w:rPr>
              <w:t xml:space="preserve"> the achievement of food security in Sub-Saharan Africa. She has presented papers at both national and international conferences and </w:t>
            </w:r>
            <w:proofErr w:type="gramStart"/>
            <w:r w:rsidRPr="004144EA">
              <w:rPr>
                <w:sz w:val="20"/>
                <w:szCs w:val="20"/>
              </w:rPr>
              <w:t>published  book</w:t>
            </w:r>
            <w:proofErr w:type="gramEnd"/>
            <w:r w:rsidRPr="004144EA">
              <w:rPr>
                <w:sz w:val="20"/>
                <w:szCs w:val="20"/>
              </w:rPr>
              <w:t xml:space="preserve"> chapters and articles in peer-reviewed accredited journals.</w:t>
            </w:r>
          </w:p>
        </w:tc>
        <w:tc>
          <w:tcPr>
            <w:tcW w:w="1166" w:type="dxa"/>
            <w:tcBorders>
              <w:top w:val="single" w:sz="4" w:space="0" w:color="auto"/>
              <w:left w:val="single" w:sz="4" w:space="0" w:color="auto"/>
              <w:bottom w:val="single" w:sz="4" w:space="0" w:color="auto"/>
              <w:right w:val="single" w:sz="4" w:space="0" w:color="auto"/>
            </w:tcBorders>
          </w:tcPr>
          <w:p w:rsidR="0026458C" w:rsidRPr="00520955" w:rsidRDefault="6827C91D">
            <w:pPr>
              <w:spacing w:after="0" w:line="240" w:lineRule="auto"/>
              <w:rPr>
                <w:rFonts w:cstheme="minorHAnsi"/>
                <w:sz w:val="20"/>
                <w:szCs w:val="20"/>
              </w:rPr>
            </w:pPr>
            <w:r w:rsidRPr="6827C91D">
              <w:rPr>
                <w:sz w:val="20"/>
                <w:szCs w:val="20"/>
              </w:rPr>
              <w:t xml:space="preserve">  </w:t>
            </w:r>
          </w:p>
          <w:p w:rsidR="00102B87" w:rsidRDefault="00CC6D22" w:rsidP="00102B87">
            <w:pPr>
              <w:spacing w:after="0" w:line="240" w:lineRule="auto"/>
              <w:rPr>
                <w:b/>
                <w:bCs/>
                <w:sz w:val="20"/>
                <w:szCs w:val="20"/>
              </w:rPr>
            </w:pPr>
            <w:r>
              <w:rPr>
                <w:b/>
                <w:bCs/>
                <w:sz w:val="20"/>
                <w:szCs w:val="20"/>
              </w:rPr>
              <w:t>2</w:t>
            </w:r>
            <w:r w:rsidR="00102B87">
              <w:rPr>
                <w:b/>
                <w:bCs/>
                <w:sz w:val="20"/>
                <w:szCs w:val="20"/>
              </w:rPr>
              <w:t xml:space="preserve"> PhD’s</w:t>
            </w:r>
          </w:p>
          <w:p w:rsidR="0026458C" w:rsidRPr="00520955" w:rsidRDefault="00CC6D22" w:rsidP="00102B87">
            <w:pPr>
              <w:spacing w:after="0" w:line="240" w:lineRule="auto"/>
              <w:rPr>
                <w:sz w:val="20"/>
                <w:szCs w:val="20"/>
              </w:rPr>
            </w:pPr>
            <w:r>
              <w:rPr>
                <w:b/>
                <w:bCs/>
                <w:sz w:val="20"/>
                <w:szCs w:val="20"/>
              </w:rPr>
              <w:t>4</w:t>
            </w:r>
            <w:r w:rsidR="00102B87">
              <w:rPr>
                <w:b/>
                <w:bCs/>
                <w:sz w:val="20"/>
                <w:szCs w:val="20"/>
              </w:rPr>
              <w:t xml:space="preserve"> Masters</w:t>
            </w: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Selection criteria: Master’s/Doctorate</w:t>
            </w:r>
          </w:p>
        </w:tc>
        <w:tc>
          <w:tcPr>
            <w:tcW w:w="6693" w:type="dxa"/>
            <w:gridSpan w:val="3"/>
            <w:tcBorders>
              <w:top w:val="single" w:sz="4" w:space="0" w:color="auto"/>
              <w:left w:val="single" w:sz="4" w:space="0" w:color="auto"/>
              <w:bottom w:val="single" w:sz="4" w:space="0" w:color="auto"/>
              <w:right w:val="single" w:sz="4" w:space="0" w:color="auto"/>
            </w:tcBorders>
            <w:hideMark/>
          </w:tcPr>
          <w:p w:rsidR="00CF11EC" w:rsidRDefault="00CF11EC" w:rsidP="00CF11EC">
            <w:pPr>
              <w:spacing w:after="0" w:line="240" w:lineRule="auto"/>
              <w:jc w:val="both"/>
              <w:rPr>
                <w:color w:val="1E2921"/>
                <w:sz w:val="20"/>
                <w:szCs w:val="20"/>
              </w:rPr>
            </w:pPr>
            <w:r>
              <w:rPr>
                <w:color w:val="1E2921"/>
                <w:sz w:val="20"/>
                <w:szCs w:val="20"/>
              </w:rPr>
              <w:t xml:space="preserve">In addition to the admission criteria contained in the </w:t>
            </w:r>
            <w:proofErr w:type="spellStart"/>
            <w:r>
              <w:rPr>
                <w:iCs/>
                <w:color w:val="1E2921"/>
                <w:sz w:val="20"/>
                <w:szCs w:val="20"/>
              </w:rPr>
              <w:t>my</w:t>
            </w:r>
            <w:r>
              <w:rPr>
                <w:color w:val="1E2921"/>
                <w:sz w:val="20"/>
                <w:szCs w:val="20"/>
              </w:rPr>
              <w:t>Choice</w:t>
            </w:r>
            <w:proofErr w:type="spellEnd"/>
            <w:r>
              <w:rPr>
                <w:color w:val="1E2921"/>
                <w:sz w:val="20"/>
                <w:szCs w:val="20"/>
              </w:rPr>
              <w:t xml:space="preserv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rsidR="00CF11EC" w:rsidRPr="00EB329E" w:rsidRDefault="00CF11EC" w:rsidP="00CF11EC">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rsidR="00CF11EC" w:rsidRPr="00EB329E" w:rsidRDefault="00CF11EC" w:rsidP="00CF11EC">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rsidR="0026458C" w:rsidRPr="00520955" w:rsidRDefault="00CF11EC" w:rsidP="00CF11EC">
            <w:pPr>
              <w:spacing w:after="0" w:line="240" w:lineRule="auto"/>
              <w:jc w:val="both"/>
              <w:rPr>
                <w:color w:val="1E2921"/>
                <w:sz w:val="20"/>
                <w:szCs w:val="20"/>
                <w:highlight w:val="yellow"/>
              </w:rPr>
            </w:pPr>
            <w:r w:rsidRPr="00EB329E">
              <w:rPr>
                <w:sz w:val="20"/>
                <w:szCs w:val="20"/>
              </w:rPr>
              <w:t xml:space="preserve">Use of recent literature is compulsory. Sources should not be older than 5 years. </w:t>
            </w: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Selection Procedure</w:t>
            </w:r>
          </w:p>
        </w:tc>
        <w:tc>
          <w:tcPr>
            <w:tcW w:w="6693" w:type="dxa"/>
            <w:gridSpan w:val="3"/>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contextualSpacing/>
              <w:jc w:val="both"/>
              <w:rPr>
                <w:rFonts w:cstheme="minorHAnsi"/>
                <w:color w:val="1E2921"/>
                <w:sz w:val="20"/>
                <w:szCs w:val="20"/>
              </w:rPr>
            </w:pPr>
            <w:r w:rsidRPr="00520955">
              <w:rPr>
                <w:rFonts w:cstheme="minorHAnsi"/>
                <w:color w:val="1E2921"/>
                <w:sz w:val="20"/>
                <w:szCs w:val="20"/>
              </w:rPr>
              <w:t xml:space="preserve">Refer to the qualification website for selection procedure. </w:t>
            </w:r>
          </w:p>
        </w:tc>
      </w:tr>
      <w:tr w:rsidR="00CF11E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tcPr>
          <w:p w:rsidR="00CF11EC" w:rsidRPr="00520955" w:rsidRDefault="00CF11EC" w:rsidP="00CF11EC">
            <w:pPr>
              <w:spacing w:after="0" w:line="240" w:lineRule="auto"/>
              <w:rPr>
                <w:rFonts w:cstheme="minorHAnsi"/>
                <w:b/>
                <w:bCs/>
                <w:sz w:val="20"/>
                <w:szCs w:val="20"/>
              </w:rPr>
            </w:pPr>
            <w:r w:rsidRPr="00520955">
              <w:rPr>
                <w:rFonts w:cstheme="minorHAnsi"/>
                <w:b/>
                <w:bCs/>
                <w:sz w:val="20"/>
                <w:szCs w:val="20"/>
              </w:rPr>
              <w:t xml:space="preserve">Reading: </w:t>
            </w:r>
          </w:p>
          <w:p w:rsidR="00CF11EC" w:rsidRPr="00520955" w:rsidRDefault="00CF11EC" w:rsidP="00CF11EC">
            <w:pPr>
              <w:spacing w:after="0" w:line="240" w:lineRule="auto"/>
              <w:rPr>
                <w:rFonts w:cstheme="minorHAnsi"/>
                <w:b/>
                <w:bCs/>
                <w:sz w:val="20"/>
                <w:szCs w:val="20"/>
              </w:rPr>
            </w:pPr>
            <w:r w:rsidRPr="00520955">
              <w:rPr>
                <w:rFonts w:cstheme="minorHAnsi"/>
                <w:b/>
                <w:bCs/>
                <w:sz w:val="20"/>
                <w:szCs w:val="20"/>
              </w:rPr>
              <w:t>Subject Field</w:t>
            </w:r>
          </w:p>
          <w:p w:rsidR="00CF11EC" w:rsidRPr="00520955" w:rsidRDefault="00CF11EC" w:rsidP="00CF11EC">
            <w:pPr>
              <w:spacing w:after="0" w:line="240" w:lineRule="auto"/>
              <w:rPr>
                <w:rFonts w:cstheme="minorHAnsi"/>
                <w:sz w:val="20"/>
                <w:szCs w:val="20"/>
              </w:rPr>
            </w:pPr>
          </w:p>
        </w:tc>
        <w:tc>
          <w:tcPr>
            <w:tcW w:w="6693" w:type="dxa"/>
            <w:gridSpan w:val="3"/>
            <w:tcBorders>
              <w:top w:val="single" w:sz="4" w:space="0" w:color="auto"/>
              <w:left w:val="single" w:sz="4" w:space="0" w:color="auto"/>
              <w:bottom w:val="single" w:sz="4" w:space="0" w:color="auto"/>
              <w:right w:val="single" w:sz="4" w:space="0" w:color="auto"/>
            </w:tcBorders>
          </w:tcPr>
          <w:p w:rsidR="00CF11EC" w:rsidRPr="0079136F" w:rsidRDefault="00CF11EC" w:rsidP="00CF11EC">
            <w:pPr>
              <w:spacing w:after="0"/>
              <w:rPr>
                <w:rFonts w:eastAsia="Times New Roman" w:cstheme="minorHAnsi"/>
                <w:b/>
                <w:bCs/>
                <w:sz w:val="20"/>
                <w:szCs w:val="20"/>
                <w:lang w:bidi="ar-SA"/>
              </w:rPr>
            </w:pPr>
            <w:r w:rsidRPr="0079136F">
              <w:rPr>
                <w:rFonts w:eastAsia="Times New Roman" w:cstheme="minorHAnsi"/>
                <w:b/>
                <w:bCs/>
                <w:sz w:val="20"/>
                <w:szCs w:val="20"/>
                <w:lang w:bidi="ar-SA"/>
              </w:rPr>
              <w:t xml:space="preserve">This is a selection of articles and/or recent books in this research focus area. </w:t>
            </w:r>
            <w:r w:rsidRPr="0079136F">
              <w:rPr>
                <w:rFonts w:eastAsia="Times New Roman" w:cstheme="minorHAnsi"/>
                <w:b/>
                <w:bCs/>
                <w:sz w:val="20"/>
                <w:szCs w:val="20"/>
                <w:cs/>
                <w:lang w:bidi="ar-SA"/>
              </w:rPr>
              <w:t>‎</w:t>
            </w:r>
            <w:r w:rsidRPr="0079136F">
              <w:rPr>
                <w:rFonts w:eastAsia="Times New Roman" w:cstheme="minorHAnsi"/>
                <w:b/>
                <w:bCs/>
                <w:sz w:val="20"/>
                <w:szCs w:val="20"/>
                <w:lang w:bidi="ar-SA"/>
              </w:rPr>
              <w:t>Further reading over and above these is essential:</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Ngcamu, B., 2022. Climate change and disaster preparedness issues in Eastern Cape and Kwazulu-Natal, South Africa. </w:t>
            </w:r>
            <w:r w:rsidRPr="0079136F">
              <w:rPr>
                <w:rFonts w:cstheme="minorHAnsi"/>
                <w:i/>
                <w:iCs/>
                <w:sz w:val="20"/>
                <w:szCs w:val="20"/>
                <w:shd w:val="clear" w:color="auto" w:fill="FFFFFF"/>
              </w:rPr>
              <w:t>Town and Regional Planning</w:t>
            </w:r>
            <w:r w:rsidRPr="0079136F">
              <w:rPr>
                <w:rFonts w:cstheme="minorHAnsi"/>
                <w:sz w:val="20"/>
                <w:szCs w:val="20"/>
                <w:shd w:val="clear" w:color="auto" w:fill="FFFFFF"/>
              </w:rPr>
              <w:t>, </w:t>
            </w:r>
            <w:r w:rsidRPr="0079136F">
              <w:rPr>
                <w:rFonts w:cstheme="minorHAnsi"/>
                <w:i/>
                <w:iCs/>
                <w:sz w:val="20"/>
                <w:szCs w:val="20"/>
                <w:shd w:val="clear" w:color="auto" w:fill="FFFFFF"/>
              </w:rPr>
              <w:t>81</w:t>
            </w:r>
            <w:r w:rsidRPr="0079136F">
              <w:rPr>
                <w:rFonts w:cstheme="minorHAnsi"/>
                <w:sz w:val="20"/>
                <w:szCs w:val="20"/>
                <w:shd w:val="clear" w:color="auto" w:fill="FFFFFF"/>
              </w:rPr>
              <w:t>, pp.53-66.</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Ngcamu, B.S. and Chari, F., 2020. Drought influences on food insecurity in Africa: A Systematic literature review. </w:t>
            </w:r>
            <w:r w:rsidRPr="0079136F">
              <w:rPr>
                <w:rFonts w:cstheme="minorHAnsi"/>
                <w:i/>
                <w:iCs/>
                <w:sz w:val="20"/>
                <w:szCs w:val="20"/>
                <w:shd w:val="clear" w:color="auto" w:fill="FFFFFF"/>
              </w:rPr>
              <w:t>International Journal of Environmental Research and Public Health</w:t>
            </w:r>
            <w:r w:rsidRPr="0079136F">
              <w:rPr>
                <w:rFonts w:cstheme="minorHAnsi"/>
                <w:sz w:val="20"/>
                <w:szCs w:val="20"/>
                <w:shd w:val="clear" w:color="auto" w:fill="FFFFFF"/>
              </w:rPr>
              <w:t>, </w:t>
            </w:r>
            <w:r w:rsidRPr="0079136F">
              <w:rPr>
                <w:rFonts w:cstheme="minorHAnsi"/>
                <w:i/>
                <w:iCs/>
                <w:sz w:val="20"/>
                <w:szCs w:val="20"/>
                <w:shd w:val="clear" w:color="auto" w:fill="FFFFFF"/>
              </w:rPr>
              <w:t>17</w:t>
            </w:r>
            <w:r w:rsidRPr="0079136F">
              <w:rPr>
                <w:rFonts w:cstheme="minorHAnsi"/>
                <w:sz w:val="20"/>
                <w:szCs w:val="20"/>
                <w:shd w:val="clear" w:color="auto" w:fill="FFFFFF"/>
              </w:rPr>
              <w:t>(16), p.5897.</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Rana, I.A., Asim, M., Aslam, A.B. and Jamshed, A., 2021. Disaster management cycle and its application for flood risk reduction in urban areas of Pakistan. </w:t>
            </w:r>
            <w:r w:rsidRPr="0079136F">
              <w:rPr>
                <w:rFonts w:cstheme="minorHAnsi"/>
                <w:i/>
                <w:iCs/>
                <w:sz w:val="20"/>
                <w:szCs w:val="20"/>
                <w:shd w:val="clear" w:color="auto" w:fill="FFFFFF"/>
              </w:rPr>
              <w:t>Urban Climate</w:t>
            </w:r>
            <w:r w:rsidRPr="0079136F">
              <w:rPr>
                <w:rFonts w:cstheme="minorHAnsi"/>
                <w:sz w:val="20"/>
                <w:szCs w:val="20"/>
                <w:shd w:val="clear" w:color="auto" w:fill="FFFFFF"/>
              </w:rPr>
              <w:t>, </w:t>
            </w:r>
            <w:r w:rsidRPr="0079136F">
              <w:rPr>
                <w:rFonts w:cstheme="minorHAnsi"/>
                <w:i/>
                <w:iCs/>
                <w:sz w:val="20"/>
                <w:szCs w:val="20"/>
                <w:shd w:val="clear" w:color="auto" w:fill="FFFFFF"/>
              </w:rPr>
              <w:t>38</w:t>
            </w:r>
            <w:r w:rsidRPr="0079136F">
              <w:rPr>
                <w:rFonts w:cstheme="minorHAnsi"/>
                <w:sz w:val="20"/>
                <w:szCs w:val="20"/>
                <w:shd w:val="clear" w:color="auto" w:fill="FFFFFF"/>
              </w:rPr>
              <w:t>, p.100893.</w:t>
            </w:r>
          </w:p>
          <w:p w:rsidR="00CF11EC" w:rsidRPr="0079136F" w:rsidRDefault="00CF11EC" w:rsidP="00CF11EC">
            <w:pPr>
              <w:numPr>
                <w:ilvl w:val="0"/>
                <w:numId w:val="2"/>
              </w:numPr>
              <w:spacing w:after="0"/>
              <w:contextualSpacing/>
              <w:rPr>
                <w:rFonts w:eastAsia="Calibri" w:cstheme="minorHAnsi"/>
                <w:sz w:val="20"/>
                <w:szCs w:val="20"/>
              </w:rPr>
            </w:pPr>
            <w:proofErr w:type="spellStart"/>
            <w:r w:rsidRPr="0079136F">
              <w:rPr>
                <w:rFonts w:cstheme="minorHAnsi"/>
                <w:sz w:val="20"/>
                <w:szCs w:val="20"/>
                <w:shd w:val="clear" w:color="auto" w:fill="FFFFFF"/>
              </w:rPr>
              <w:t>Chatiza</w:t>
            </w:r>
            <w:proofErr w:type="spellEnd"/>
            <w:r w:rsidRPr="0079136F">
              <w:rPr>
                <w:rFonts w:cstheme="minorHAnsi"/>
                <w:sz w:val="20"/>
                <w:szCs w:val="20"/>
                <w:shd w:val="clear" w:color="auto" w:fill="FFFFFF"/>
              </w:rPr>
              <w:t>, K., 2019. Cyclone Idai in Zimbabwe: An analysis of policy implications for post-disaster institutional development to strengthen disaster risk management.</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Atanga, R.A., 2020. The role of local community leaders in flood disaster risk management strategy making in Accra.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43</w:t>
            </w:r>
            <w:r w:rsidRPr="0079136F">
              <w:rPr>
                <w:rFonts w:cstheme="minorHAnsi"/>
                <w:sz w:val="20"/>
                <w:szCs w:val="20"/>
                <w:shd w:val="clear" w:color="auto" w:fill="FFFFFF"/>
              </w:rPr>
              <w:t>, p.101358.</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 xml:space="preserve">Zuccaro, G., Leone, M.F. and Martucci, C., 2020. Future research and innovation priorities in the field of natural hazards, disaster risk reduction, disaster risk management and climate change adaptation: A shared vision from the </w:t>
            </w:r>
            <w:proofErr w:type="spellStart"/>
            <w:r w:rsidRPr="0079136F">
              <w:rPr>
                <w:rFonts w:cstheme="minorHAnsi"/>
                <w:sz w:val="20"/>
                <w:szCs w:val="20"/>
                <w:shd w:val="clear" w:color="auto" w:fill="FFFFFF"/>
              </w:rPr>
              <w:t>ESPREssO</w:t>
            </w:r>
            <w:proofErr w:type="spellEnd"/>
            <w:r w:rsidRPr="0079136F">
              <w:rPr>
                <w:rFonts w:cstheme="minorHAnsi"/>
                <w:sz w:val="20"/>
                <w:szCs w:val="20"/>
                <w:shd w:val="clear" w:color="auto" w:fill="FFFFFF"/>
              </w:rPr>
              <w:t xml:space="preserve"> project.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51</w:t>
            </w:r>
            <w:r w:rsidRPr="0079136F">
              <w:rPr>
                <w:rFonts w:cstheme="minorHAnsi"/>
                <w:sz w:val="20"/>
                <w:szCs w:val="20"/>
                <w:shd w:val="clear" w:color="auto" w:fill="FFFFFF"/>
              </w:rPr>
              <w:t>, p.101783.</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 xml:space="preserve">Rajabi, E., Bazyar, J., Delshad, V. and </w:t>
            </w:r>
            <w:proofErr w:type="spellStart"/>
            <w:r w:rsidRPr="0079136F">
              <w:rPr>
                <w:rFonts w:cstheme="minorHAnsi"/>
                <w:sz w:val="20"/>
                <w:szCs w:val="20"/>
                <w:shd w:val="clear" w:color="auto" w:fill="FFFFFF"/>
              </w:rPr>
              <w:t>Khankeh</w:t>
            </w:r>
            <w:proofErr w:type="spellEnd"/>
            <w:r w:rsidRPr="0079136F">
              <w:rPr>
                <w:rFonts w:cstheme="minorHAnsi"/>
                <w:sz w:val="20"/>
                <w:szCs w:val="20"/>
                <w:shd w:val="clear" w:color="auto" w:fill="FFFFFF"/>
              </w:rPr>
              <w:t>, H.R., 2022. The evolution of disaster risk management: historical approach. </w:t>
            </w:r>
            <w:r w:rsidRPr="0079136F">
              <w:rPr>
                <w:rFonts w:cstheme="minorHAnsi"/>
                <w:i/>
                <w:iCs/>
                <w:sz w:val="20"/>
                <w:szCs w:val="20"/>
                <w:shd w:val="clear" w:color="auto" w:fill="FFFFFF"/>
              </w:rPr>
              <w:t>Disaster medicine and public health preparedness</w:t>
            </w:r>
            <w:r w:rsidRPr="0079136F">
              <w:rPr>
                <w:rFonts w:cstheme="minorHAnsi"/>
                <w:sz w:val="20"/>
                <w:szCs w:val="20"/>
                <w:shd w:val="clear" w:color="auto" w:fill="FFFFFF"/>
              </w:rPr>
              <w:t>, </w:t>
            </w:r>
            <w:r w:rsidRPr="0079136F">
              <w:rPr>
                <w:rFonts w:cstheme="minorHAnsi"/>
                <w:i/>
                <w:iCs/>
                <w:sz w:val="20"/>
                <w:szCs w:val="20"/>
                <w:shd w:val="clear" w:color="auto" w:fill="FFFFFF"/>
              </w:rPr>
              <w:t>16</w:t>
            </w:r>
            <w:r w:rsidRPr="0079136F">
              <w:rPr>
                <w:rFonts w:cstheme="minorHAnsi"/>
                <w:sz w:val="20"/>
                <w:szCs w:val="20"/>
                <w:shd w:val="clear" w:color="auto" w:fill="FFFFFF"/>
              </w:rPr>
              <w:t>(4), pp.1623-1627.</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Shah, A.A., Shaw, R., Ye, J., Abid, M., Amir, S.M., Pervez, A.K. and Naz, S., 2019. Current capacities, preparedness and needs of local institutions in dealing with disaster risk reduction in Khyber Pakhtunkhwa, Pakistan.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34</w:t>
            </w:r>
            <w:r w:rsidRPr="0079136F">
              <w:rPr>
                <w:rFonts w:cstheme="minorHAnsi"/>
                <w:sz w:val="20"/>
                <w:szCs w:val="20"/>
                <w:shd w:val="clear" w:color="auto" w:fill="FFFFFF"/>
              </w:rPr>
              <w:t>, pp.165-172.</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 xml:space="preserve">Rodela, R. and Gerger </w:t>
            </w:r>
            <w:proofErr w:type="spellStart"/>
            <w:r w:rsidRPr="0079136F">
              <w:rPr>
                <w:rFonts w:cstheme="minorHAnsi"/>
                <w:sz w:val="20"/>
                <w:szCs w:val="20"/>
                <w:shd w:val="clear" w:color="auto" w:fill="FFFFFF"/>
              </w:rPr>
              <w:t>Swartling</w:t>
            </w:r>
            <w:proofErr w:type="spellEnd"/>
            <w:r w:rsidRPr="0079136F">
              <w:rPr>
                <w:rFonts w:cstheme="minorHAnsi"/>
                <w:sz w:val="20"/>
                <w:szCs w:val="20"/>
                <w:shd w:val="clear" w:color="auto" w:fill="FFFFFF"/>
              </w:rPr>
              <w:t>, Å., 2019. Environmental governance in an increasingly complex world: Reflections on transdisciplinary collaborations for knowledge coproduction and learning. </w:t>
            </w:r>
            <w:r w:rsidRPr="0079136F">
              <w:rPr>
                <w:rFonts w:cstheme="minorHAnsi"/>
                <w:i/>
                <w:iCs/>
                <w:sz w:val="20"/>
                <w:szCs w:val="20"/>
                <w:shd w:val="clear" w:color="auto" w:fill="FFFFFF"/>
              </w:rPr>
              <w:t>Environmental Policy and Governance</w:t>
            </w:r>
            <w:r w:rsidRPr="0079136F">
              <w:rPr>
                <w:rFonts w:cstheme="minorHAnsi"/>
                <w:sz w:val="20"/>
                <w:szCs w:val="20"/>
                <w:shd w:val="clear" w:color="auto" w:fill="FFFFFF"/>
              </w:rPr>
              <w:t>, (2), pp.83-86.</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 xml:space="preserve">Busayo, E.T., Kalumba, A.M., </w:t>
            </w:r>
            <w:proofErr w:type="spellStart"/>
            <w:r w:rsidRPr="0079136F">
              <w:rPr>
                <w:rFonts w:cstheme="minorHAnsi"/>
                <w:sz w:val="20"/>
                <w:szCs w:val="20"/>
                <w:shd w:val="clear" w:color="auto" w:fill="FFFFFF"/>
              </w:rPr>
              <w:t>Afuye</w:t>
            </w:r>
            <w:proofErr w:type="spellEnd"/>
            <w:r w:rsidRPr="0079136F">
              <w:rPr>
                <w:rFonts w:cstheme="minorHAnsi"/>
                <w:sz w:val="20"/>
                <w:szCs w:val="20"/>
                <w:shd w:val="clear" w:color="auto" w:fill="FFFFFF"/>
              </w:rPr>
              <w:t xml:space="preserve">, G.A., Ekundayo, O.Y. and </w:t>
            </w:r>
            <w:proofErr w:type="spellStart"/>
            <w:r w:rsidRPr="0079136F">
              <w:rPr>
                <w:rFonts w:cstheme="minorHAnsi"/>
                <w:sz w:val="20"/>
                <w:szCs w:val="20"/>
                <w:shd w:val="clear" w:color="auto" w:fill="FFFFFF"/>
              </w:rPr>
              <w:t>Orimoloye</w:t>
            </w:r>
            <w:proofErr w:type="spellEnd"/>
            <w:r w:rsidRPr="0079136F">
              <w:rPr>
                <w:rFonts w:cstheme="minorHAnsi"/>
                <w:sz w:val="20"/>
                <w:szCs w:val="20"/>
                <w:shd w:val="clear" w:color="auto" w:fill="FFFFFF"/>
              </w:rPr>
              <w:t>, I.R., 2020. Assessment of the Sendai framework for disaster risk reduction studies since 2015.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50</w:t>
            </w:r>
            <w:r w:rsidRPr="0079136F">
              <w:rPr>
                <w:rFonts w:cstheme="minorHAnsi"/>
                <w:sz w:val="20"/>
                <w:szCs w:val="20"/>
                <w:shd w:val="clear" w:color="auto" w:fill="FFFFFF"/>
              </w:rPr>
              <w:t>, p.101906.</w:t>
            </w:r>
          </w:p>
          <w:p w:rsidR="00CF11EC" w:rsidRPr="0079136F" w:rsidRDefault="00CF11EC" w:rsidP="00CF11EC">
            <w:pPr>
              <w:numPr>
                <w:ilvl w:val="0"/>
                <w:numId w:val="2"/>
              </w:numPr>
              <w:spacing w:after="0"/>
              <w:contextualSpacing/>
              <w:rPr>
                <w:rFonts w:eastAsia="Calibri" w:cstheme="minorHAnsi"/>
                <w:sz w:val="20"/>
                <w:szCs w:val="20"/>
              </w:rPr>
            </w:pPr>
            <w:r w:rsidRPr="0079136F">
              <w:rPr>
                <w:rFonts w:cstheme="minorHAnsi"/>
                <w:sz w:val="20"/>
                <w:szCs w:val="20"/>
                <w:shd w:val="clear" w:color="auto" w:fill="FFFFFF"/>
              </w:rPr>
              <w:t>Enqvist, J.P. and Ziervogel, G., 2019. Water governance and justice in Cape Town: An overview. </w:t>
            </w:r>
            <w:r w:rsidRPr="0079136F">
              <w:rPr>
                <w:rFonts w:cstheme="minorHAnsi"/>
                <w:i/>
                <w:iCs/>
                <w:sz w:val="20"/>
                <w:szCs w:val="20"/>
                <w:shd w:val="clear" w:color="auto" w:fill="FFFFFF"/>
              </w:rPr>
              <w:t>Wiley Interdisciplinary Reviews: Water</w:t>
            </w:r>
            <w:r w:rsidRPr="0079136F">
              <w:rPr>
                <w:rFonts w:cstheme="minorHAnsi"/>
                <w:sz w:val="20"/>
                <w:szCs w:val="20"/>
                <w:shd w:val="clear" w:color="auto" w:fill="FFFFFF"/>
              </w:rPr>
              <w:t>, </w:t>
            </w:r>
            <w:r w:rsidRPr="0079136F">
              <w:rPr>
                <w:rFonts w:cstheme="minorHAnsi"/>
                <w:i/>
                <w:iCs/>
                <w:sz w:val="20"/>
                <w:szCs w:val="20"/>
                <w:shd w:val="clear" w:color="auto" w:fill="FFFFFF"/>
              </w:rPr>
              <w:t>6</w:t>
            </w:r>
            <w:r w:rsidRPr="0079136F">
              <w:rPr>
                <w:rFonts w:cstheme="minorHAnsi"/>
                <w:sz w:val="20"/>
                <w:szCs w:val="20"/>
                <w:shd w:val="clear" w:color="auto" w:fill="FFFFFF"/>
              </w:rPr>
              <w:t>(4), p.e1354.</w:t>
            </w:r>
          </w:p>
          <w:p w:rsidR="00CF11EC" w:rsidRPr="0079136F" w:rsidRDefault="00CF11EC" w:rsidP="00CF11EC">
            <w:pPr>
              <w:numPr>
                <w:ilvl w:val="0"/>
                <w:numId w:val="2"/>
              </w:numPr>
              <w:spacing w:after="0"/>
              <w:contextualSpacing/>
              <w:rPr>
                <w:rFonts w:eastAsia="Calibri" w:cstheme="minorHAnsi"/>
                <w:sz w:val="20"/>
                <w:szCs w:val="20"/>
              </w:rPr>
            </w:pPr>
            <w:proofErr w:type="spellStart"/>
            <w:r w:rsidRPr="0079136F">
              <w:rPr>
                <w:rFonts w:cstheme="minorHAnsi"/>
                <w:sz w:val="20"/>
                <w:szCs w:val="20"/>
                <w:shd w:val="clear" w:color="auto" w:fill="FFFFFF"/>
              </w:rPr>
              <w:t>Chasek</w:t>
            </w:r>
            <w:proofErr w:type="spellEnd"/>
            <w:r w:rsidRPr="0079136F">
              <w:rPr>
                <w:rFonts w:cstheme="minorHAnsi"/>
                <w:sz w:val="20"/>
                <w:szCs w:val="20"/>
                <w:shd w:val="clear" w:color="auto" w:fill="FFFFFF"/>
              </w:rPr>
              <w:t>, P.S. and Downie, D.L., 2020. </w:t>
            </w:r>
            <w:r w:rsidRPr="0079136F">
              <w:rPr>
                <w:rFonts w:cstheme="minorHAnsi"/>
                <w:i/>
                <w:iCs/>
                <w:sz w:val="20"/>
                <w:szCs w:val="20"/>
                <w:shd w:val="clear" w:color="auto" w:fill="FFFFFF"/>
              </w:rPr>
              <w:t>Global environmental politics</w:t>
            </w:r>
            <w:r w:rsidRPr="0079136F">
              <w:rPr>
                <w:rFonts w:cstheme="minorHAnsi"/>
                <w:sz w:val="20"/>
                <w:szCs w:val="20"/>
                <w:shd w:val="clear" w:color="auto" w:fill="FFFFFF"/>
              </w:rPr>
              <w:t>. Routledge.</w:t>
            </w:r>
          </w:p>
          <w:p w:rsidR="00CF11EC" w:rsidRPr="00520955" w:rsidRDefault="00CF11EC" w:rsidP="00CF11EC">
            <w:pPr>
              <w:spacing w:after="0" w:line="240" w:lineRule="auto"/>
              <w:jc w:val="both"/>
              <w:rPr>
                <w:rFonts w:cstheme="minorHAnsi"/>
                <w:sz w:val="20"/>
                <w:szCs w:val="20"/>
              </w:rPr>
            </w:pPr>
            <w:r w:rsidRPr="0079136F">
              <w:rPr>
                <w:rFonts w:cstheme="minorHAnsi"/>
                <w:sz w:val="20"/>
                <w:szCs w:val="20"/>
                <w:shd w:val="clear" w:color="auto" w:fill="FFFFFF"/>
              </w:rPr>
              <w:t>Brenton, T., 2019. </w:t>
            </w:r>
            <w:r w:rsidRPr="0079136F">
              <w:rPr>
                <w:rFonts w:cstheme="minorHAnsi"/>
                <w:i/>
                <w:iCs/>
                <w:sz w:val="20"/>
                <w:szCs w:val="20"/>
                <w:shd w:val="clear" w:color="auto" w:fill="FFFFFF"/>
              </w:rPr>
              <w:t>The greening of Machiavelli: the evolution of international environmental politics</w:t>
            </w:r>
            <w:r w:rsidRPr="0079136F">
              <w:rPr>
                <w:rFonts w:cstheme="minorHAnsi"/>
                <w:sz w:val="20"/>
                <w:szCs w:val="20"/>
                <w:shd w:val="clear" w:color="auto" w:fill="FFFFFF"/>
              </w:rPr>
              <w:t xml:space="preserve"> (Vol. 4). Routledge. </w:t>
            </w:r>
          </w:p>
        </w:tc>
      </w:tr>
      <w:tr w:rsidR="00CF11E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CF11EC" w:rsidRPr="00520955" w:rsidRDefault="00CF11EC" w:rsidP="00CF11EC">
            <w:pPr>
              <w:spacing w:after="0" w:line="240" w:lineRule="auto"/>
              <w:rPr>
                <w:rFonts w:cstheme="minorHAnsi"/>
                <w:b/>
                <w:bCs/>
                <w:sz w:val="20"/>
                <w:szCs w:val="20"/>
              </w:rPr>
            </w:pPr>
            <w:r w:rsidRPr="00520955">
              <w:rPr>
                <w:rFonts w:cstheme="minorHAnsi"/>
                <w:b/>
                <w:bCs/>
                <w:sz w:val="20"/>
                <w:szCs w:val="20"/>
              </w:rPr>
              <w:t xml:space="preserve">Reading: </w:t>
            </w:r>
          </w:p>
          <w:p w:rsidR="00CF11EC" w:rsidRPr="00520955" w:rsidRDefault="00CF11EC" w:rsidP="00CF11EC">
            <w:pPr>
              <w:spacing w:after="0" w:line="240" w:lineRule="auto"/>
              <w:rPr>
                <w:rFonts w:cstheme="minorHAnsi"/>
                <w:sz w:val="20"/>
                <w:szCs w:val="20"/>
              </w:rPr>
            </w:pPr>
            <w:r w:rsidRPr="00520955">
              <w:rPr>
                <w:rFonts w:cstheme="minorHAnsi"/>
                <w:b/>
                <w:bCs/>
                <w:sz w:val="20"/>
                <w:szCs w:val="20"/>
              </w:rPr>
              <w:t>Research Methodology</w:t>
            </w:r>
          </w:p>
        </w:tc>
        <w:tc>
          <w:tcPr>
            <w:tcW w:w="6693" w:type="dxa"/>
            <w:gridSpan w:val="3"/>
            <w:tcBorders>
              <w:top w:val="single" w:sz="4" w:space="0" w:color="auto"/>
              <w:left w:val="single" w:sz="4" w:space="0" w:color="auto"/>
              <w:bottom w:val="single" w:sz="4" w:space="0" w:color="auto"/>
              <w:right w:val="single" w:sz="4" w:space="0" w:color="auto"/>
            </w:tcBorders>
          </w:tcPr>
          <w:p w:rsidR="00CF11EC" w:rsidRPr="0079136F" w:rsidRDefault="00CF11EC" w:rsidP="00CF11EC">
            <w:pPr>
              <w:autoSpaceDE w:val="0"/>
              <w:autoSpaceDN w:val="0"/>
              <w:spacing w:after="0"/>
              <w:rPr>
                <w:rFonts w:eastAsia="Times New Roman" w:cstheme="minorHAnsi"/>
                <w:b/>
                <w:sz w:val="20"/>
                <w:szCs w:val="20"/>
                <w:lang w:bidi="ar-SA"/>
              </w:rPr>
            </w:pPr>
            <w:r w:rsidRPr="0079136F">
              <w:rPr>
                <w:rFonts w:eastAsia="Times New Roman" w:cstheme="minorHAnsi"/>
                <w:b/>
                <w:sz w:val="20"/>
                <w:szCs w:val="20"/>
                <w:lang w:bidi="ar-SA"/>
              </w:rPr>
              <w:t>This is a selection books on methodology. Further reading over and above these is essential:</w:t>
            </w:r>
          </w:p>
          <w:p w:rsidR="00CF11EC" w:rsidRPr="0079136F" w:rsidRDefault="00CF11EC" w:rsidP="00CF11EC">
            <w:pPr>
              <w:numPr>
                <w:ilvl w:val="0"/>
                <w:numId w:val="3"/>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Brennan, M. &amp; Letherby, G. 2017. Auto/biographical approaches to researching death and bereavement: connections, continuums, contrasts. </w:t>
            </w:r>
            <w:r w:rsidRPr="0079136F">
              <w:rPr>
                <w:rFonts w:eastAsia="Calibri" w:cstheme="minorHAnsi"/>
                <w:i/>
                <w:iCs/>
                <w:sz w:val="20"/>
                <w:szCs w:val="20"/>
              </w:rPr>
              <w:t>Mortality</w:t>
            </w:r>
            <w:r w:rsidRPr="0079136F">
              <w:rPr>
                <w:rFonts w:eastAsia="Calibri" w:cstheme="minorHAnsi"/>
                <w:sz w:val="20"/>
                <w:szCs w:val="20"/>
              </w:rPr>
              <w:t>. 22(2):155–169. DOI: 10.1080/13576275.2017.1291604.</w:t>
            </w:r>
          </w:p>
          <w:p w:rsidR="00CF11EC" w:rsidRPr="0079136F" w:rsidRDefault="00CF11EC" w:rsidP="00CF11EC">
            <w:pPr>
              <w:numPr>
                <w:ilvl w:val="0"/>
                <w:numId w:val="3"/>
              </w:numPr>
              <w:spacing w:after="0"/>
              <w:contextualSpacing/>
              <w:rPr>
                <w:rFonts w:eastAsia="Calibri" w:cstheme="minorHAnsi"/>
                <w:sz w:val="20"/>
                <w:szCs w:val="20"/>
              </w:rPr>
            </w:pPr>
            <w:r w:rsidRPr="0079136F">
              <w:rPr>
                <w:rFonts w:eastAsia="Calibri" w:cstheme="minorHAnsi"/>
                <w:sz w:val="20"/>
                <w:szCs w:val="20"/>
              </w:rPr>
              <w:t xml:space="preserve">Mouton, J. 2022. </w:t>
            </w:r>
            <w:r w:rsidRPr="0079136F">
              <w:rPr>
                <w:rFonts w:eastAsia="Calibri" w:cstheme="minorHAnsi"/>
                <w:i/>
                <w:sz w:val="20"/>
                <w:szCs w:val="20"/>
              </w:rPr>
              <w:t>How to succeed in your Master’s &amp; Doctoral Studies: A South African guide and Resource Book</w:t>
            </w:r>
            <w:r w:rsidRPr="0079136F">
              <w:rPr>
                <w:rFonts w:eastAsia="Calibri" w:cstheme="minorHAnsi"/>
                <w:sz w:val="20"/>
                <w:szCs w:val="20"/>
              </w:rPr>
              <w:t>. Pretoria: Van Schaik</w:t>
            </w:r>
          </w:p>
          <w:p w:rsidR="00CF11EC" w:rsidRPr="0079136F" w:rsidRDefault="00CF11EC" w:rsidP="00CF11EC">
            <w:pPr>
              <w:numPr>
                <w:ilvl w:val="0"/>
                <w:numId w:val="3"/>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Wessels, J.S., Pauw, J.C. &amp; Thani, X.C. Eds. 2014. </w:t>
            </w:r>
            <w:r w:rsidRPr="0079136F">
              <w:rPr>
                <w:rFonts w:eastAsia="Calibri" w:cstheme="minorHAnsi"/>
                <w:i/>
                <w:iCs/>
                <w:sz w:val="20"/>
                <w:szCs w:val="20"/>
              </w:rPr>
              <w:t xml:space="preserve">Reflective Public Administration: Context, </w:t>
            </w:r>
            <w:proofErr w:type="gramStart"/>
            <w:r w:rsidRPr="0079136F">
              <w:rPr>
                <w:rFonts w:eastAsia="Calibri" w:cstheme="minorHAnsi"/>
                <w:i/>
                <w:iCs/>
                <w:sz w:val="20"/>
                <w:szCs w:val="20"/>
              </w:rPr>
              <w:t>Knowledge</w:t>
            </w:r>
            <w:proofErr w:type="gramEnd"/>
            <w:r w:rsidRPr="0079136F">
              <w:rPr>
                <w:rFonts w:eastAsia="Calibri" w:cstheme="minorHAnsi"/>
                <w:i/>
                <w:iCs/>
                <w:sz w:val="20"/>
                <w:szCs w:val="20"/>
              </w:rPr>
              <w:t xml:space="preserve"> and Methods</w:t>
            </w:r>
            <w:r w:rsidRPr="0079136F">
              <w:rPr>
                <w:rFonts w:eastAsia="Calibri" w:cstheme="minorHAnsi"/>
                <w:sz w:val="20"/>
                <w:szCs w:val="20"/>
              </w:rPr>
              <w:t>. First edit ed. Pretoria: Unisa Press.</w:t>
            </w:r>
          </w:p>
          <w:p w:rsidR="00CF11EC" w:rsidRPr="0079136F" w:rsidRDefault="00CF11EC" w:rsidP="00CF11EC">
            <w:pPr>
              <w:numPr>
                <w:ilvl w:val="0"/>
                <w:numId w:val="3"/>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Yin, R.K. 2018. </w:t>
            </w:r>
            <w:r w:rsidRPr="0079136F">
              <w:rPr>
                <w:rFonts w:eastAsia="Calibri" w:cstheme="minorHAnsi"/>
                <w:i/>
                <w:iCs/>
                <w:sz w:val="20"/>
                <w:szCs w:val="20"/>
              </w:rPr>
              <w:t>Case Study Research and Applications: Design and Methods</w:t>
            </w:r>
            <w:r w:rsidRPr="0079136F">
              <w:rPr>
                <w:rFonts w:eastAsia="Calibri" w:cstheme="minorHAnsi"/>
                <w:sz w:val="20"/>
                <w:szCs w:val="20"/>
              </w:rPr>
              <w:t>. 6th ed. Los Angeles: SAGE.</w:t>
            </w:r>
          </w:p>
          <w:p w:rsidR="00CF11EC" w:rsidRPr="0079136F" w:rsidRDefault="00CF11EC" w:rsidP="00CF11EC">
            <w:pPr>
              <w:numPr>
                <w:ilvl w:val="0"/>
                <w:numId w:val="3"/>
              </w:numPr>
              <w:autoSpaceDE w:val="0"/>
              <w:autoSpaceDN w:val="0"/>
              <w:spacing w:after="0"/>
              <w:rPr>
                <w:rFonts w:eastAsia="Calibri" w:cstheme="minorHAnsi"/>
                <w:sz w:val="20"/>
                <w:szCs w:val="20"/>
              </w:rPr>
            </w:pPr>
            <w:r w:rsidRPr="0079136F">
              <w:rPr>
                <w:rFonts w:eastAsia="Calibri" w:cstheme="minorHAnsi"/>
                <w:sz w:val="20"/>
                <w:szCs w:val="20"/>
              </w:rPr>
              <w:t xml:space="preserve">Zongozzi, J.N. and Wessels, J.S. 2016. </w:t>
            </w:r>
            <w:hyperlink r:id="rId8" w:history="1">
              <w:r w:rsidRPr="0079136F">
                <w:rPr>
                  <w:rFonts w:eastAsia="Calibri" w:cstheme="minorHAnsi"/>
                  <w:sz w:val="20"/>
                  <w:szCs w:val="20"/>
                  <w:u w:val="single"/>
                  <w:lang w:val="en-US"/>
                </w:rPr>
                <w:t>Variables Influencing Case Study Research Design in Public Administration: A Conceptual Framework</w:t>
              </w:r>
            </w:hyperlink>
            <w:r w:rsidRPr="0079136F">
              <w:rPr>
                <w:rFonts w:eastAsia="Calibri" w:cstheme="minorHAnsi"/>
                <w:sz w:val="20"/>
                <w:szCs w:val="20"/>
              </w:rPr>
              <w:t xml:space="preserve">. </w:t>
            </w:r>
            <w:proofErr w:type="spellStart"/>
            <w:r w:rsidRPr="0079136F">
              <w:rPr>
                <w:rFonts w:eastAsia="Calibri" w:cstheme="minorHAnsi"/>
                <w:i/>
                <w:sz w:val="20"/>
                <w:szCs w:val="20"/>
              </w:rPr>
              <w:t>Administratio</w:t>
            </w:r>
            <w:proofErr w:type="spellEnd"/>
            <w:r w:rsidRPr="0079136F">
              <w:rPr>
                <w:rFonts w:eastAsia="Calibri" w:cstheme="minorHAnsi"/>
                <w:i/>
                <w:sz w:val="20"/>
                <w:szCs w:val="20"/>
              </w:rPr>
              <w:t xml:space="preserve"> Publica</w:t>
            </w:r>
            <w:r w:rsidRPr="0079136F">
              <w:rPr>
                <w:rFonts w:eastAsia="Calibri" w:cstheme="minorHAnsi"/>
                <w:sz w:val="20"/>
                <w:szCs w:val="20"/>
              </w:rPr>
              <w:t>, 24(2):212-233.</w:t>
            </w:r>
          </w:p>
          <w:p w:rsidR="00CF11EC" w:rsidRPr="0079136F" w:rsidRDefault="00CF11EC" w:rsidP="00CF11EC">
            <w:pPr>
              <w:numPr>
                <w:ilvl w:val="0"/>
                <w:numId w:val="3"/>
              </w:numPr>
              <w:spacing w:after="0"/>
              <w:contextualSpacing/>
              <w:rPr>
                <w:rFonts w:eastAsia="Calibri" w:cstheme="minorHAnsi"/>
                <w:sz w:val="20"/>
                <w:szCs w:val="20"/>
              </w:rPr>
            </w:pPr>
            <w:r w:rsidRPr="0079136F">
              <w:rPr>
                <w:rFonts w:eastAsia="Calibri" w:cstheme="minorHAnsi"/>
                <w:sz w:val="20"/>
                <w:szCs w:val="20"/>
              </w:rPr>
              <w:t xml:space="preserve">Zongozzi, J.N. and Wessels, J.S. 2017. </w:t>
            </w:r>
            <w:hyperlink r:id="rId9" w:history="1">
              <w:r w:rsidRPr="0079136F">
                <w:rPr>
                  <w:rFonts w:eastAsia="Calibri" w:cstheme="minorHAnsi"/>
                  <w:sz w:val="20"/>
                  <w:szCs w:val="20"/>
                  <w:u w:val="single"/>
                </w:rPr>
                <w:t xml:space="preserve">Case studies in South African Public Administration: A review of </w:t>
              </w:r>
              <w:proofErr w:type="gramStart"/>
              <w:r w:rsidRPr="0079136F">
                <w:rPr>
                  <w:rFonts w:eastAsia="Calibri" w:cstheme="minorHAnsi"/>
                  <w:sz w:val="20"/>
                  <w:szCs w:val="20"/>
                  <w:u w:val="single"/>
                </w:rPr>
                <w:t>Master’s</w:t>
              </w:r>
              <w:proofErr w:type="gramEnd"/>
              <w:r w:rsidRPr="0079136F">
                <w:rPr>
                  <w:rFonts w:eastAsia="Calibri" w:cstheme="minorHAnsi"/>
                  <w:sz w:val="20"/>
                  <w:szCs w:val="20"/>
                  <w:u w:val="single"/>
                </w:rPr>
                <w:t xml:space="preserve"> dissertations form 2005 to 2012</w:t>
              </w:r>
            </w:hyperlink>
            <w:r w:rsidRPr="0079136F">
              <w:rPr>
                <w:rFonts w:eastAsia="Calibri" w:cstheme="minorHAnsi"/>
                <w:sz w:val="20"/>
                <w:szCs w:val="20"/>
              </w:rPr>
              <w:t>. Journal of Public Administration, 52(1.1): 260-273.</w:t>
            </w:r>
          </w:p>
          <w:p w:rsidR="00CF11EC" w:rsidRPr="0079136F" w:rsidRDefault="00CF11EC" w:rsidP="00CF11EC">
            <w:pPr>
              <w:numPr>
                <w:ilvl w:val="0"/>
                <w:numId w:val="3"/>
              </w:numPr>
              <w:spacing w:after="0"/>
              <w:contextualSpacing/>
              <w:rPr>
                <w:rFonts w:eastAsia="Calibri" w:cstheme="minorHAnsi"/>
                <w:sz w:val="20"/>
                <w:szCs w:val="20"/>
              </w:rPr>
            </w:pPr>
            <w:r w:rsidRPr="0079136F">
              <w:rPr>
                <w:rFonts w:cstheme="minorHAnsi"/>
                <w:bCs/>
                <w:sz w:val="20"/>
                <w:szCs w:val="20"/>
              </w:rPr>
              <w:t xml:space="preserve">Braun, V. &amp; Clarke, V. 2012. “Thematic analysis”. In H. Cooper (Ed.), </w:t>
            </w:r>
            <w:r w:rsidRPr="0079136F">
              <w:rPr>
                <w:rFonts w:cstheme="minorHAnsi"/>
                <w:bCs/>
                <w:i/>
                <w:iCs/>
                <w:sz w:val="20"/>
                <w:szCs w:val="20"/>
              </w:rPr>
              <w:t xml:space="preserve">APA handbook of research methods in psychology </w:t>
            </w:r>
            <w:r w:rsidRPr="0079136F">
              <w:rPr>
                <w:rFonts w:cstheme="minorHAnsi"/>
                <w:bCs/>
                <w:sz w:val="20"/>
                <w:szCs w:val="20"/>
              </w:rPr>
              <w:t>(Vol. 2), pp. 57–71. Washington, DC: American Psychological Association.</w:t>
            </w:r>
          </w:p>
          <w:p w:rsidR="00CF11EC" w:rsidRPr="0079136F" w:rsidRDefault="00CF11EC" w:rsidP="00CF11EC">
            <w:pPr>
              <w:numPr>
                <w:ilvl w:val="0"/>
                <w:numId w:val="3"/>
              </w:numPr>
              <w:spacing w:after="0"/>
              <w:contextualSpacing/>
              <w:rPr>
                <w:rFonts w:eastAsia="Calibri"/>
                <w:sz w:val="20"/>
                <w:szCs w:val="20"/>
              </w:rPr>
            </w:pPr>
            <w:r w:rsidRPr="5F978204">
              <w:rPr>
                <w:sz w:val="20"/>
                <w:szCs w:val="20"/>
              </w:rPr>
              <w:t xml:space="preserve">Creswell, J., and </w:t>
            </w:r>
            <w:proofErr w:type="spellStart"/>
            <w:r w:rsidRPr="5F978204">
              <w:rPr>
                <w:sz w:val="20"/>
                <w:szCs w:val="20"/>
              </w:rPr>
              <w:t>Poth</w:t>
            </w:r>
            <w:proofErr w:type="spellEnd"/>
            <w:r w:rsidRPr="5F978204">
              <w:rPr>
                <w:sz w:val="20"/>
                <w:szCs w:val="20"/>
              </w:rPr>
              <w:t>, C. N. 2018. Qualitative inquiry &amp; research design: Choosing among five approaches (4th ed.). SAGE Publications.</w:t>
            </w:r>
          </w:p>
          <w:p w:rsidR="00CF11EC" w:rsidRPr="0079136F" w:rsidRDefault="00CF11EC" w:rsidP="00CF11EC">
            <w:pPr>
              <w:numPr>
                <w:ilvl w:val="0"/>
                <w:numId w:val="3"/>
              </w:numPr>
              <w:spacing w:after="0"/>
              <w:contextualSpacing/>
              <w:rPr>
                <w:rFonts w:eastAsia="Calibri" w:cstheme="minorHAnsi"/>
                <w:sz w:val="20"/>
                <w:szCs w:val="20"/>
              </w:rPr>
            </w:pPr>
            <w:r w:rsidRPr="0079136F">
              <w:rPr>
                <w:rFonts w:eastAsia="Times New Roman" w:cstheme="minorHAnsi"/>
                <w:sz w:val="20"/>
                <w:szCs w:val="20"/>
                <w:lang w:eastAsia="en-ZA"/>
              </w:rPr>
              <w:t>Denzin, N. K., Lincoln, Y. S. 2018. The SAGE handbook of qualitative research (5th ed.). SAGE Publications.</w:t>
            </w:r>
          </w:p>
          <w:p w:rsidR="00CF11EC" w:rsidRPr="00520955" w:rsidRDefault="00CF11EC" w:rsidP="00CF11EC">
            <w:pPr>
              <w:rPr>
                <w:rFonts w:cstheme="minorHAnsi"/>
                <w:sz w:val="20"/>
                <w:szCs w:val="20"/>
              </w:rPr>
            </w:pPr>
            <w:r w:rsidRPr="0079136F">
              <w:rPr>
                <w:rFonts w:cstheme="minorHAnsi"/>
                <w:sz w:val="20"/>
                <w:szCs w:val="20"/>
                <w:lang w:val="en-GB"/>
              </w:rPr>
              <w:t>Sekaran, U. 2003. Research methods for business: A skill-building approach (4th ed.). New York, NY: John Wiley &amp; Sons.</w:t>
            </w: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Resources: Scholar community</w:t>
            </w:r>
          </w:p>
        </w:tc>
        <w:tc>
          <w:tcPr>
            <w:tcW w:w="6693" w:type="dxa"/>
            <w:gridSpan w:val="3"/>
            <w:tcBorders>
              <w:top w:val="single" w:sz="4" w:space="0" w:color="auto"/>
              <w:left w:val="single" w:sz="4" w:space="0" w:color="auto"/>
              <w:bottom w:val="single" w:sz="4" w:space="0" w:color="auto"/>
              <w:right w:val="single" w:sz="4" w:space="0" w:color="auto"/>
            </w:tcBorders>
          </w:tcPr>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lang w:val="en-US"/>
              </w:rPr>
              <w:t xml:space="preserve">Academy of Science of South Africa and </w:t>
            </w:r>
            <w:proofErr w:type="spellStart"/>
            <w:r w:rsidRPr="0079136F">
              <w:rPr>
                <w:rFonts w:eastAsia="Calibri" w:cstheme="minorHAnsi"/>
                <w:sz w:val="20"/>
                <w:szCs w:val="20"/>
                <w:lang w:val="en-US"/>
              </w:rPr>
              <w:t>ASSAf</w:t>
            </w:r>
            <w:proofErr w:type="spellEnd"/>
            <w:r w:rsidRPr="0079136F">
              <w:rPr>
                <w:rFonts w:eastAsia="Calibri" w:cstheme="minorHAnsi"/>
                <w:sz w:val="20"/>
                <w:szCs w:val="20"/>
                <w:lang w:val="en-US"/>
              </w:rPr>
              <w:t xml:space="preserve"> (2010) </w:t>
            </w:r>
            <w:r w:rsidRPr="0079136F">
              <w:rPr>
                <w:rFonts w:eastAsia="Calibri" w:cstheme="minorHAnsi"/>
                <w:i/>
                <w:iCs/>
                <w:sz w:val="20"/>
                <w:szCs w:val="20"/>
                <w:lang w:val="en-US"/>
              </w:rPr>
              <w:t>The PHD Study: An Evidence-based Study on how to meet the demands of High-level Skills in an Emerging Economy</w:t>
            </w:r>
            <w:r w:rsidRPr="0079136F">
              <w:rPr>
                <w:rFonts w:eastAsia="Calibri" w:cstheme="minorHAnsi"/>
                <w:sz w:val="20"/>
                <w:szCs w:val="20"/>
                <w:lang w:val="en-US"/>
              </w:rPr>
              <w:t xml:space="preserve">. Pretoria. Available at: </w:t>
            </w:r>
            <w:hyperlink r:id="rId10" w:history="1">
              <w:r w:rsidRPr="0079136F">
                <w:rPr>
                  <w:rFonts w:eastAsia="Calibri" w:cstheme="minorHAnsi"/>
                  <w:sz w:val="20"/>
                  <w:szCs w:val="20"/>
                  <w:u w:val="single"/>
                  <w:lang w:val="en-US"/>
                </w:rPr>
                <w:t>http://www.pan.org.za/node/8639</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rPr>
              <w:t xml:space="preserve">African Union Commission (AUC). </w:t>
            </w:r>
            <w:hyperlink r:id="rId11" w:history="1">
              <w:r w:rsidRPr="0079136F">
                <w:rPr>
                  <w:rFonts w:eastAsia="Calibri" w:cstheme="minorHAnsi"/>
                  <w:sz w:val="20"/>
                  <w:szCs w:val="20"/>
                  <w:u w:val="single"/>
                </w:rPr>
                <w:t>https://au.int/en/organs/commission</w:t>
              </w:r>
            </w:hyperlink>
          </w:p>
          <w:p w:rsidR="00CF11EC" w:rsidRPr="0079136F" w:rsidRDefault="00CF11EC" w:rsidP="00CF11EC">
            <w:pPr>
              <w:numPr>
                <w:ilvl w:val="0"/>
                <w:numId w:val="4"/>
              </w:numPr>
              <w:contextualSpacing/>
              <w:rPr>
                <w:rFonts w:eastAsia="Calibri" w:cstheme="minorHAnsi"/>
                <w:sz w:val="20"/>
                <w:szCs w:val="20"/>
                <w:lang w:val="en-GB"/>
              </w:rPr>
            </w:pPr>
            <w:r w:rsidRPr="0079136F">
              <w:rPr>
                <w:rFonts w:eastAsia="Calibri" w:cstheme="minorHAnsi"/>
                <w:sz w:val="20"/>
                <w:szCs w:val="20"/>
                <w:lang w:val="en-GB"/>
              </w:rPr>
              <w:t xml:space="preserve">Ethics within global perspective: </w:t>
            </w:r>
            <w:hyperlink r:id="rId12" w:history="1">
              <w:r w:rsidRPr="0079136F">
                <w:rPr>
                  <w:rFonts w:eastAsia="Calibri" w:cstheme="minorHAnsi"/>
                  <w:sz w:val="20"/>
                  <w:szCs w:val="20"/>
                  <w:u w:val="single"/>
                  <w:lang w:val="en-GB"/>
                </w:rPr>
                <w:t>http://www.unesco.org/new/en/ethics-office/</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rPr>
              <w:t xml:space="preserve">National Development Plan 2030. </w:t>
            </w:r>
            <w:hyperlink r:id="rId13" w:history="1">
              <w:r w:rsidRPr="0079136F">
                <w:rPr>
                  <w:rFonts w:eastAsia="Calibri" w:cstheme="minorHAnsi"/>
                  <w:sz w:val="20"/>
                  <w:szCs w:val="20"/>
                  <w:u w:val="single"/>
                </w:rPr>
                <w:t>https://www.gov.za/issues/national-development-plan-2030</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lang w:val="en-GB"/>
              </w:rPr>
              <w:t xml:space="preserve">Singapore Statement: </w:t>
            </w:r>
            <w:hyperlink r:id="rId14" w:history="1">
              <w:r w:rsidRPr="0079136F">
                <w:rPr>
                  <w:rFonts w:eastAsia="Calibri" w:cstheme="minorHAnsi"/>
                  <w:sz w:val="20"/>
                  <w:szCs w:val="20"/>
                  <w:u w:val="single"/>
                  <w:lang w:val="en-GB"/>
                </w:rPr>
                <w:t>http://www.singaporestatement.org</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rPr>
              <w:t xml:space="preserve">The Public Administration Theory Network. </w:t>
            </w:r>
            <w:hyperlink r:id="rId15" w:history="1">
              <w:r w:rsidRPr="0079136F">
                <w:rPr>
                  <w:rFonts w:eastAsia="Calibri" w:cstheme="minorHAnsi"/>
                  <w:sz w:val="20"/>
                  <w:szCs w:val="20"/>
                  <w:u w:val="single"/>
                </w:rPr>
                <w:t>http://www.patheory.net</w:t>
              </w:r>
            </w:hyperlink>
          </w:p>
          <w:p w:rsidR="00CF11EC" w:rsidRPr="0079136F" w:rsidRDefault="00CF11EC" w:rsidP="00CF11EC">
            <w:pPr>
              <w:numPr>
                <w:ilvl w:val="0"/>
                <w:numId w:val="4"/>
              </w:numPr>
              <w:contextualSpacing/>
              <w:jc w:val="both"/>
              <w:rPr>
                <w:rFonts w:eastAsia="Calibri" w:cstheme="minorHAnsi"/>
                <w:sz w:val="20"/>
                <w:szCs w:val="20"/>
                <w:lang w:val="en-GB"/>
              </w:rPr>
            </w:pPr>
            <w:r w:rsidRPr="0079136F">
              <w:rPr>
                <w:rFonts w:eastAsia="Calibri" w:cstheme="minorHAnsi"/>
                <w:sz w:val="20"/>
                <w:szCs w:val="20"/>
                <w:lang w:val="en-GB"/>
              </w:rPr>
              <w:t xml:space="preserve">UK Research Integrity Office: </w:t>
            </w:r>
            <w:hyperlink r:id="rId16" w:history="1">
              <w:r w:rsidRPr="0079136F">
                <w:rPr>
                  <w:rFonts w:eastAsia="Calibri" w:cstheme="minorHAnsi"/>
                  <w:sz w:val="20"/>
                  <w:szCs w:val="20"/>
                  <w:u w:val="single"/>
                  <w:lang w:val="en-GB"/>
                </w:rPr>
                <w:t>http://www.ukrio.org/</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eastAsia="Calibri" w:cstheme="minorHAnsi"/>
                <w:sz w:val="20"/>
                <w:szCs w:val="20"/>
                <w:lang w:val="en-GB"/>
              </w:rPr>
              <w:t xml:space="preserve">US Department of Health and Human Sciences, Office of Research Integrity: </w:t>
            </w:r>
            <w:hyperlink r:id="rId17" w:history="1">
              <w:r w:rsidRPr="0079136F">
                <w:rPr>
                  <w:rFonts w:eastAsia="Calibri" w:cstheme="minorHAnsi"/>
                  <w:sz w:val="20"/>
                  <w:szCs w:val="20"/>
                  <w:u w:val="single"/>
                  <w:lang w:val="en-GB"/>
                </w:rPr>
                <w:t>http://ori.dhhs.gov/</w:t>
              </w:r>
            </w:hyperlink>
          </w:p>
          <w:p w:rsidR="00CF11EC" w:rsidRPr="0079136F" w:rsidRDefault="00CF11EC" w:rsidP="00CF11EC">
            <w:pPr>
              <w:numPr>
                <w:ilvl w:val="0"/>
                <w:numId w:val="4"/>
              </w:numPr>
              <w:spacing w:after="0"/>
              <w:contextualSpacing/>
              <w:rPr>
                <w:rFonts w:eastAsia="Calibri" w:cstheme="minorHAnsi"/>
                <w:sz w:val="20"/>
                <w:szCs w:val="20"/>
              </w:rPr>
            </w:pPr>
            <w:r w:rsidRPr="0079136F">
              <w:rPr>
                <w:rFonts w:cstheme="minorHAnsi"/>
                <w:sz w:val="20"/>
                <w:szCs w:val="20"/>
              </w:rPr>
              <w:t xml:space="preserve">IPCC, Masson-Delmotte V, Zhai P, </w:t>
            </w:r>
            <w:proofErr w:type="spellStart"/>
            <w:r w:rsidRPr="0079136F">
              <w:rPr>
                <w:rFonts w:cstheme="minorHAnsi"/>
                <w:sz w:val="20"/>
                <w:szCs w:val="20"/>
              </w:rPr>
              <w:t>Pörtner</w:t>
            </w:r>
            <w:proofErr w:type="spellEnd"/>
            <w:r w:rsidRPr="0079136F">
              <w:rPr>
                <w:rFonts w:cstheme="minorHAnsi"/>
                <w:sz w:val="20"/>
                <w:szCs w:val="20"/>
              </w:rPr>
              <w:t xml:space="preserve"> HO, Roberts D, Skea J, Shukla PR, Pirani A, </w:t>
            </w:r>
            <w:proofErr w:type="spellStart"/>
            <w:r w:rsidRPr="0079136F">
              <w:rPr>
                <w:rFonts w:cstheme="minorHAnsi"/>
                <w:sz w:val="20"/>
                <w:szCs w:val="20"/>
              </w:rPr>
              <w:t>Moufouma</w:t>
            </w:r>
            <w:proofErr w:type="spellEnd"/>
            <w:r w:rsidRPr="0079136F">
              <w:rPr>
                <w:rFonts w:cstheme="minorHAnsi"/>
                <w:sz w:val="20"/>
                <w:szCs w:val="20"/>
              </w:rPr>
              <w:t xml:space="preserve">-Okia W, </w:t>
            </w:r>
            <w:proofErr w:type="spellStart"/>
            <w:r w:rsidRPr="0079136F">
              <w:rPr>
                <w:rFonts w:cstheme="minorHAnsi"/>
                <w:sz w:val="20"/>
                <w:szCs w:val="20"/>
              </w:rPr>
              <w:t>Péan</w:t>
            </w:r>
            <w:proofErr w:type="spellEnd"/>
            <w:r w:rsidRPr="0079136F">
              <w:rPr>
                <w:rFonts w:cstheme="minorHAnsi"/>
                <w:sz w:val="20"/>
                <w:szCs w:val="20"/>
              </w:rPr>
              <w:t xml:space="preserve"> C, Pidcock R, Connors S, Matthews JBR, Chen Y, Zhou X, Gomis MI, </w:t>
            </w:r>
            <w:proofErr w:type="spellStart"/>
            <w:r w:rsidRPr="0079136F">
              <w:rPr>
                <w:rFonts w:cstheme="minorHAnsi"/>
                <w:sz w:val="20"/>
                <w:szCs w:val="20"/>
              </w:rPr>
              <w:t>Lonnoy</w:t>
            </w:r>
            <w:proofErr w:type="spellEnd"/>
            <w:r w:rsidRPr="0079136F">
              <w:rPr>
                <w:rFonts w:cstheme="minorHAnsi"/>
                <w:sz w:val="20"/>
                <w:szCs w:val="20"/>
              </w:rPr>
              <w:t xml:space="preserve"> E, Maycock T, Tignor M, Waterfield T (eds) (2018) Global warming of 1.5°C. An IPCC Special.</w:t>
            </w:r>
          </w:p>
          <w:p w:rsidR="00CF11EC" w:rsidRPr="0079136F" w:rsidRDefault="00CF11EC" w:rsidP="00CF11EC">
            <w:pPr>
              <w:numPr>
                <w:ilvl w:val="0"/>
                <w:numId w:val="4"/>
              </w:numPr>
              <w:spacing w:after="0"/>
              <w:contextualSpacing/>
              <w:rPr>
                <w:rFonts w:eastAsia="Calibri" w:cstheme="minorHAnsi"/>
                <w:sz w:val="20"/>
                <w:szCs w:val="20"/>
              </w:rPr>
            </w:pPr>
            <w:r w:rsidRPr="0079136F">
              <w:rPr>
                <w:rFonts w:cstheme="minorHAnsi"/>
                <w:sz w:val="20"/>
                <w:szCs w:val="20"/>
              </w:rPr>
              <w:t>IPCC (2001) Climate change 2001: synthesis report; a contribution of Working Groups I, II, and III to the third assessment report of the Intergovernmental Panel on Climate Change. Cambridge University Press, Cambridge</w:t>
            </w:r>
          </w:p>
          <w:p w:rsidR="00CF11EC" w:rsidRPr="0079136F" w:rsidRDefault="00CF11EC" w:rsidP="00CF11EC">
            <w:pPr>
              <w:numPr>
                <w:ilvl w:val="0"/>
                <w:numId w:val="4"/>
              </w:numPr>
              <w:spacing w:after="0"/>
              <w:contextualSpacing/>
              <w:rPr>
                <w:rFonts w:eastAsia="Calibri" w:cstheme="minorHAnsi"/>
                <w:sz w:val="20"/>
                <w:szCs w:val="20"/>
              </w:rPr>
            </w:pPr>
            <w:r w:rsidRPr="0079136F">
              <w:rPr>
                <w:rFonts w:cstheme="minorHAnsi"/>
                <w:sz w:val="20"/>
                <w:szCs w:val="20"/>
                <w:lang w:val="en-GB"/>
              </w:rPr>
              <w:t xml:space="preserve">IPCC, (Intergovernmental Panel on Climate Change). Global Warming of 1.5 </w:t>
            </w:r>
            <w:proofErr w:type="spellStart"/>
            <w:r w:rsidRPr="0079136F">
              <w:rPr>
                <w:rFonts w:cstheme="minorHAnsi"/>
                <w:sz w:val="20"/>
                <w:szCs w:val="20"/>
                <w:lang w:val="en-GB"/>
              </w:rPr>
              <w:t>Deg</w:t>
            </w:r>
            <w:proofErr w:type="spellEnd"/>
            <w:r w:rsidRPr="0079136F">
              <w:rPr>
                <w:rFonts w:cstheme="minorHAnsi"/>
                <w:sz w:val="20"/>
                <w:szCs w:val="20"/>
                <w:lang w:val="en-GB"/>
              </w:rPr>
              <w:t xml:space="preserve"> </w:t>
            </w:r>
            <w:proofErr w:type="spellStart"/>
            <w:r w:rsidRPr="0079136F">
              <w:rPr>
                <w:rFonts w:cstheme="minorHAnsi"/>
                <w:sz w:val="20"/>
                <w:szCs w:val="20"/>
                <w:lang w:val="en-GB"/>
              </w:rPr>
              <w:t>Celcius</w:t>
            </w:r>
            <w:proofErr w:type="spellEnd"/>
            <w:r w:rsidRPr="0079136F">
              <w:rPr>
                <w:rFonts w:cstheme="minorHAnsi"/>
                <w:sz w:val="20"/>
                <w:szCs w:val="20"/>
                <w:lang w:val="en-GB"/>
              </w:rPr>
              <w:t>: Summary for Policymakers. 2018.</w:t>
            </w:r>
          </w:p>
          <w:p w:rsidR="0026458C" w:rsidRPr="00520955" w:rsidRDefault="00CF11EC" w:rsidP="00CF11EC">
            <w:pPr>
              <w:spacing w:after="0" w:line="240" w:lineRule="auto"/>
              <w:jc w:val="both"/>
              <w:rPr>
                <w:rFonts w:cstheme="minorHAnsi"/>
                <w:sz w:val="20"/>
                <w:szCs w:val="20"/>
              </w:rPr>
            </w:pPr>
            <w:r w:rsidRPr="0079136F">
              <w:rPr>
                <w:rStyle w:val="markedcontent"/>
                <w:rFonts w:cstheme="minorHAnsi"/>
                <w:sz w:val="20"/>
                <w:szCs w:val="20"/>
                <w:lang w:val="en-GB"/>
              </w:rPr>
              <w:t xml:space="preserve">IPCC, Summary for policymakers. In: Edenhofer, O., </w:t>
            </w:r>
            <w:proofErr w:type="spellStart"/>
            <w:r w:rsidRPr="0079136F">
              <w:rPr>
                <w:rStyle w:val="markedcontent"/>
                <w:rFonts w:cstheme="minorHAnsi"/>
                <w:sz w:val="20"/>
                <w:szCs w:val="20"/>
                <w:lang w:val="en-GB"/>
              </w:rPr>
              <w:t>Pichs</w:t>
            </w:r>
            <w:proofErr w:type="spellEnd"/>
            <w:r w:rsidRPr="0079136F">
              <w:rPr>
                <w:rStyle w:val="markedcontent"/>
                <w:rFonts w:cstheme="minorHAnsi"/>
                <w:sz w:val="20"/>
                <w:szCs w:val="20"/>
                <w:lang w:val="en-GB"/>
              </w:rPr>
              <w:t>-Madruga, R., Sokona, Y., Farahani, E., Kadner, S., Seyboth, K., Minx, J.C. (Eds.), Climate Change</w:t>
            </w:r>
            <w:r w:rsidRPr="0079136F">
              <w:rPr>
                <w:rFonts w:cstheme="minorHAnsi"/>
                <w:sz w:val="20"/>
                <w:szCs w:val="20"/>
                <w:lang w:val="en-GB"/>
              </w:rPr>
              <w:br/>
            </w:r>
            <w:r w:rsidRPr="0079136F">
              <w:rPr>
                <w:rStyle w:val="markedcontent"/>
                <w:rFonts w:cstheme="minorHAnsi"/>
                <w:sz w:val="20"/>
                <w:szCs w:val="20"/>
                <w:lang w:val="en-GB"/>
              </w:rPr>
              <w:t>2014: Mitigation of Climate Change. Contribution of Working Group III to the Fifth Assessment Report of the Intergovernmental Panel on Climate Change.</w:t>
            </w:r>
            <w:r w:rsidRPr="0079136F">
              <w:rPr>
                <w:rFonts w:cstheme="minorHAnsi"/>
                <w:sz w:val="20"/>
                <w:szCs w:val="20"/>
                <w:lang w:val="en-GB"/>
              </w:rPr>
              <w:br/>
            </w:r>
            <w:r w:rsidRPr="0079136F">
              <w:rPr>
                <w:rStyle w:val="markedcontent"/>
                <w:rFonts w:cstheme="minorHAnsi"/>
                <w:sz w:val="20"/>
                <w:szCs w:val="20"/>
                <w:lang w:val="en-GB"/>
              </w:rPr>
              <w:t>Cambridge University Press, Cambridge, United Kingdom and New York, NY, USA. 2014.</w:t>
            </w:r>
          </w:p>
        </w:tc>
      </w:tr>
    </w:tbl>
    <w:p w:rsidR="00E167CA" w:rsidRDefault="00E167CA">
      <w:pPr>
        <w:rPr>
          <w:rFonts w:cstheme="minorHAnsi"/>
          <w:sz w:val="20"/>
          <w:szCs w:val="20"/>
        </w:rPr>
      </w:pPr>
    </w:p>
    <w:p w:rsidR="00F33DFC" w:rsidRPr="00520955" w:rsidRDefault="00F33DFC">
      <w:pPr>
        <w:rPr>
          <w:rFonts w:cstheme="minorHAnsi"/>
          <w:sz w:val="20"/>
          <w:szCs w:val="20"/>
        </w:rPr>
      </w:pPr>
    </w:p>
    <w:sectPr w:rsidR="00F33DFC" w:rsidRPr="005209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altName w:val="MS Gothic"/>
    <w:panose1 w:val="00000000000000000000"/>
    <w:charset w:val="00"/>
    <w:family w:val="roman"/>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434079">
    <w:abstractNumId w:val="1"/>
  </w:num>
  <w:num w:numId="2" w16cid:durableId="321739667">
    <w:abstractNumId w:val="0"/>
  </w:num>
  <w:num w:numId="3" w16cid:durableId="1341084549">
    <w:abstractNumId w:val="3"/>
  </w:num>
  <w:num w:numId="4" w16cid:durableId="1449082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US" w:vendorID="64" w:dllVersion="0" w:nlCheck="1" w:checkStyle="0"/>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8C"/>
    <w:rsid w:val="00050DF3"/>
    <w:rsid w:val="000758D1"/>
    <w:rsid w:val="0007777B"/>
    <w:rsid w:val="000B4FC1"/>
    <w:rsid w:val="000D5B5B"/>
    <w:rsid w:val="00102B87"/>
    <w:rsid w:val="00155A73"/>
    <w:rsid w:val="00167B0D"/>
    <w:rsid w:val="00175BFC"/>
    <w:rsid w:val="0018374B"/>
    <w:rsid w:val="001944D7"/>
    <w:rsid w:val="00226130"/>
    <w:rsid w:val="00263868"/>
    <w:rsid w:val="0026458C"/>
    <w:rsid w:val="00281D41"/>
    <w:rsid w:val="002C22BD"/>
    <w:rsid w:val="002D0DDE"/>
    <w:rsid w:val="0032767D"/>
    <w:rsid w:val="003307BB"/>
    <w:rsid w:val="00352A4A"/>
    <w:rsid w:val="003855FC"/>
    <w:rsid w:val="00403665"/>
    <w:rsid w:val="00435BC7"/>
    <w:rsid w:val="00471307"/>
    <w:rsid w:val="00474A0B"/>
    <w:rsid w:val="0047582A"/>
    <w:rsid w:val="004B3FDC"/>
    <w:rsid w:val="004C516B"/>
    <w:rsid w:val="00520955"/>
    <w:rsid w:val="00530BC6"/>
    <w:rsid w:val="005A7784"/>
    <w:rsid w:val="006121F4"/>
    <w:rsid w:val="006307A3"/>
    <w:rsid w:val="0063190E"/>
    <w:rsid w:val="006A2951"/>
    <w:rsid w:val="006F14DB"/>
    <w:rsid w:val="00701688"/>
    <w:rsid w:val="00761E74"/>
    <w:rsid w:val="00764C1E"/>
    <w:rsid w:val="007D4059"/>
    <w:rsid w:val="007E4DEE"/>
    <w:rsid w:val="00853829"/>
    <w:rsid w:val="00856885"/>
    <w:rsid w:val="008B7F56"/>
    <w:rsid w:val="008E6EED"/>
    <w:rsid w:val="00962B64"/>
    <w:rsid w:val="0098607A"/>
    <w:rsid w:val="00AC53FE"/>
    <w:rsid w:val="00AE2074"/>
    <w:rsid w:val="00B20531"/>
    <w:rsid w:val="00B35050"/>
    <w:rsid w:val="00B37248"/>
    <w:rsid w:val="00B75960"/>
    <w:rsid w:val="00B8633B"/>
    <w:rsid w:val="00BA35A1"/>
    <w:rsid w:val="00BC25B2"/>
    <w:rsid w:val="00BD2329"/>
    <w:rsid w:val="00C95183"/>
    <w:rsid w:val="00C96EAA"/>
    <w:rsid w:val="00CB1946"/>
    <w:rsid w:val="00CC2930"/>
    <w:rsid w:val="00CC6D22"/>
    <w:rsid w:val="00CE24C5"/>
    <w:rsid w:val="00CF11EC"/>
    <w:rsid w:val="00CF69B4"/>
    <w:rsid w:val="00D24108"/>
    <w:rsid w:val="00D43FA2"/>
    <w:rsid w:val="00D8707D"/>
    <w:rsid w:val="00DB488D"/>
    <w:rsid w:val="00DC613C"/>
    <w:rsid w:val="00E1533D"/>
    <w:rsid w:val="00E167CA"/>
    <w:rsid w:val="00E33D03"/>
    <w:rsid w:val="00E93BCA"/>
    <w:rsid w:val="00E976C4"/>
    <w:rsid w:val="00ED6957"/>
    <w:rsid w:val="00F03A0D"/>
    <w:rsid w:val="00F229A0"/>
    <w:rsid w:val="00F335F9"/>
    <w:rsid w:val="00F33DFC"/>
    <w:rsid w:val="00FC3B5C"/>
    <w:rsid w:val="00FC6967"/>
    <w:rsid w:val="00FE0EFC"/>
    <w:rsid w:val="00FF097D"/>
    <w:rsid w:val="190122C0"/>
    <w:rsid w:val="2F350D47"/>
    <w:rsid w:val="579EF3E8"/>
    <w:rsid w:val="6827C91D"/>
    <w:rsid w:val="6CFF0F5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8E5B"/>
  <w15:chartTrackingRefBased/>
  <w15:docId w15:val="{4FDE576D-FC93-46AD-BEE8-689C197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D22"/>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58C"/>
    <w:rPr>
      <w:color w:val="0563C1" w:themeColor="hyperlink"/>
      <w:u w:val="single"/>
    </w:rPr>
  </w:style>
  <w:style w:type="character" w:styleId="UnresolvedMention">
    <w:name w:val="Unresolved Mention"/>
    <w:basedOn w:val="DefaultParagraphFont"/>
    <w:uiPriority w:val="99"/>
    <w:semiHidden/>
    <w:unhideWhenUsed/>
    <w:rsid w:val="001944D7"/>
    <w:rPr>
      <w:color w:val="605E5C"/>
      <w:shd w:val="clear" w:color="auto" w:fill="E1DFDD"/>
    </w:rPr>
  </w:style>
  <w:style w:type="paragraph" w:customStyle="1" w:styleId="pf0">
    <w:name w:val="pf0"/>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markedcontent">
    <w:name w:val="markedcontent"/>
    <w:basedOn w:val="DefaultParagraphFont"/>
    <w:rsid w:val="00CF1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96259">
      <w:bodyDiv w:val="1"/>
      <w:marLeft w:val="0"/>
      <w:marRight w:val="0"/>
      <w:marTop w:val="0"/>
      <w:marBottom w:val="0"/>
      <w:divBdr>
        <w:top w:val="none" w:sz="0" w:space="0" w:color="auto"/>
        <w:left w:val="none" w:sz="0" w:space="0" w:color="auto"/>
        <w:bottom w:val="none" w:sz="0" w:space="0" w:color="auto"/>
        <w:right w:val="none" w:sz="0" w:space="0" w:color="auto"/>
      </w:divBdr>
    </w:div>
    <w:div w:id="6620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dl.handle.net/10500/21242" TargetMode="External"/><Relationship Id="rId13" Type="http://schemas.openxmlformats.org/officeDocument/2006/relationships/hyperlink" Target="https://www.gov.za/issues/national-development-plan-203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kwanm@unisa.ac.za" TargetMode="External"/><Relationship Id="rId12" Type="http://schemas.openxmlformats.org/officeDocument/2006/relationships/hyperlink" Target="http://www.unesco.org/new/en/ethics-office/" TargetMode="External"/><Relationship Id="rId17" Type="http://schemas.openxmlformats.org/officeDocument/2006/relationships/hyperlink" Target="http://ori.dhhs.gov/" TargetMode="External"/><Relationship Id="rId2" Type="http://schemas.openxmlformats.org/officeDocument/2006/relationships/styles" Target="styles.xml"/><Relationship Id="rId16" Type="http://schemas.openxmlformats.org/officeDocument/2006/relationships/hyperlink" Target="http://www.ukrio.org/" TargetMode="External"/><Relationship Id="rId1" Type="http://schemas.openxmlformats.org/officeDocument/2006/relationships/numbering" Target="numbering.xml"/><Relationship Id="rId6" Type="http://schemas.openxmlformats.org/officeDocument/2006/relationships/hyperlink" Target="mailto:vdwesej@unisa.ac.za" TargetMode="External"/><Relationship Id="rId11" Type="http://schemas.openxmlformats.org/officeDocument/2006/relationships/hyperlink" Target="https://au.int/en/organs/commission" TargetMode="External"/><Relationship Id="rId5" Type="http://schemas.openxmlformats.org/officeDocument/2006/relationships/hyperlink" Target="mailto:ngcambs@unisa.ac.za" TargetMode="External"/><Relationship Id="rId15" Type="http://schemas.openxmlformats.org/officeDocument/2006/relationships/hyperlink" Target="http://www.patheory.net" TargetMode="External"/><Relationship Id="rId10" Type="http://schemas.openxmlformats.org/officeDocument/2006/relationships/hyperlink" Target="http://www.pan.org.za/node/863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dl.handle.net/10500/23462" TargetMode="External"/><Relationship Id="rId14" Type="http://schemas.openxmlformats.org/officeDocument/2006/relationships/hyperlink" Target="http://www.singaporestate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1474</Words>
  <Characters>8403</Characters>
  <Application>Microsoft Office Word</Application>
  <DocSecurity>0</DocSecurity>
  <Lines>70</Lines>
  <Paragraphs>19</Paragraphs>
  <ScaleCrop>false</ScaleCrop>
  <Company>UNISA</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Nair, Noveena</cp:lastModifiedBy>
  <cp:revision>1</cp:revision>
  <dcterms:created xsi:type="dcterms:W3CDTF">2024-04-09T07:49:00Z</dcterms:created>
  <dcterms:modified xsi:type="dcterms:W3CDTF">2024-04-09T07:49:00Z</dcterms:modified>
</cp:coreProperties>
</file>