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058"/>
        <w:gridCol w:w="4295"/>
        <w:gridCol w:w="1246"/>
      </w:tblGrid>
      <w:tr w:rsidR="00C7453F" w:rsidRPr="00BB139D" w14:paraId="66469D61" w14:textId="77777777" w:rsidTr="007F1525">
        <w:trPr>
          <w:trHeight w:val="276"/>
        </w:trPr>
        <w:tc>
          <w:tcPr>
            <w:tcW w:w="3747" w:type="dxa"/>
            <w:gridSpan w:val="2"/>
            <w:shd w:val="clear" w:color="auto" w:fill="auto"/>
          </w:tcPr>
          <w:p w14:paraId="5EAB2CF6" w14:textId="77777777" w:rsidR="00C7453F" w:rsidRPr="00BB139D" w:rsidRDefault="00C7453F" w:rsidP="00DF00D9">
            <w:pPr>
              <w:spacing w:after="0" w:line="240" w:lineRule="auto"/>
              <w:rPr>
                <w:b/>
                <w:sz w:val="20"/>
                <w:szCs w:val="20"/>
              </w:rPr>
            </w:pPr>
            <w:r w:rsidRPr="00BB139D">
              <w:rPr>
                <w:b/>
                <w:sz w:val="20"/>
                <w:szCs w:val="20"/>
              </w:rPr>
              <w:t>Department</w:t>
            </w:r>
          </w:p>
        </w:tc>
        <w:tc>
          <w:tcPr>
            <w:tcW w:w="5541" w:type="dxa"/>
            <w:gridSpan w:val="2"/>
            <w:shd w:val="clear" w:color="auto" w:fill="auto"/>
          </w:tcPr>
          <w:p w14:paraId="67E8BA79" w14:textId="77777777" w:rsidR="009C01A9" w:rsidRPr="00BB139D" w:rsidRDefault="0027264C" w:rsidP="008736F3">
            <w:pPr>
              <w:spacing w:after="0" w:line="240" w:lineRule="auto"/>
              <w:rPr>
                <w:sz w:val="20"/>
                <w:szCs w:val="20"/>
              </w:rPr>
            </w:pPr>
            <w:r>
              <w:rPr>
                <w:sz w:val="20"/>
                <w:szCs w:val="20"/>
              </w:rPr>
              <w:t>Business Management</w:t>
            </w:r>
          </w:p>
        </w:tc>
      </w:tr>
      <w:tr w:rsidR="00C7453F" w:rsidRPr="00BB139D" w14:paraId="117A8AC3" w14:textId="77777777" w:rsidTr="007F1525">
        <w:trPr>
          <w:trHeight w:val="276"/>
        </w:trPr>
        <w:tc>
          <w:tcPr>
            <w:tcW w:w="3747" w:type="dxa"/>
            <w:gridSpan w:val="2"/>
            <w:shd w:val="clear" w:color="auto" w:fill="auto"/>
          </w:tcPr>
          <w:p w14:paraId="3E1081E2" w14:textId="77777777" w:rsidR="00C7453F" w:rsidRPr="00BB139D" w:rsidRDefault="00C7453F" w:rsidP="00DF00D9">
            <w:pPr>
              <w:spacing w:after="0" w:line="240" w:lineRule="auto"/>
              <w:rPr>
                <w:b/>
                <w:sz w:val="20"/>
                <w:szCs w:val="20"/>
              </w:rPr>
            </w:pPr>
            <w:r w:rsidRPr="00BB139D">
              <w:rPr>
                <w:b/>
                <w:sz w:val="20"/>
                <w:szCs w:val="20"/>
              </w:rPr>
              <w:t>Discipline</w:t>
            </w:r>
          </w:p>
        </w:tc>
        <w:tc>
          <w:tcPr>
            <w:tcW w:w="5541" w:type="dxa"/>
            <w:gridSpan w:val="2"/>
            <w:shd w:val="clear" w:color="auto" w:fill="auto"/>
          </w:tcPr>
          <w:p w14:paraId="1A53874E" w14:textId="77777777" w:rsidR="009C01A9" w:rsidRPr="00BB139D" w:rsidRDefault="0027264C" w:rsidP="00DF00D9">
            <w:pPr>
              <w:spacing w:after="0" w:line="240" w:lineRule="auto"/>
              <w:rPr>
                <w:sz w:val="20"/>
                <w:szCs w:val="20"/>
              </w:rPr>
            </w:pPr>
            <w:r>
              <w:rPr>
                <w:sz w:val="20"/>
                <w:szCs w:val="20"/>
              </w:rPr>
              <w:t>Strategic Management</w:t>
            </w:r>
          </w:p>
        </w:tc>
      </w:tr>
      <w:tr w:rsidR="00C7453F" w:rsidRPr="00BB139D" w14:paraId="12384326" w14:textId="77777777" w:rsidTr="007F1525">
        <w:tc>
          <w:tcPr>
            <w:tcW w:w="3747" w:type="dxa"/>
            <w:gridSpan w:val="2"/>
            <w:tcBorders>
              <w:bottom w:val="single" w:sz="4" w:space="0" w:color="auto"/>
            </w:tcBorders>
            <w:shd w:val="clear" w:color="auto" w:fill="auto"/>
          </w:tcPr>
          <w:p w14:paraId="252A22FF"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41" w:type="dxa"/>
            <w:gridSpan w:val="2"/>
            <w:tcBorders>
              <w:bottom w:val="single" w:sz="4" w:space="0" w:color="auto"/>
            </w:tcBorders>
            <w:shd w:val="clear" w:color="auto" w:fill="auto"/>
          </w:tcPr>
          <w:p w14:paraId="5C8D6767" w14:textId="77777777" w:rsidR="0027264C" w:rsidRDefault="0027264C" w:rsidP="0027264C">
            <w:pPr>
              <w:spacing w:after="0" w:line="240" w:lineRule="auto"/>
              <w:rPr>
                <w:b/>
                <w:sz w:val="20"/>
                <w:szCs w:val="20"/>
              </w:rPr>
            </w:pPr>
            <w:r>
              <w:rPr>
                <w:b/>
                <w:sz w:val="20"/>
                <w:szCs w:val="20"/>
              </w:rPr>
              <w:t xml:space="preserve">Competitive Intelligence/ Economic Intelligence </w:t>
            </w:r>
          </w:p>
          <w:p w14:paraId="37C4C14C" w14:textId="2C904C61" w:rsidR="009C01A9" w:rsidRPr="00BB139D" w:rsidRDefault="0027264C" w:rsidP="0027264C">
            <w:pPr>
              <w:spacing w:after="0" w:line="240" w:lineRule="auto"/>
              <w:rPr>
                <w:b/>
                <w:sz w:val="20"/>
                <w:szCs w:val="20"/>
              </w:rPr>
            </w:pPr>
            <w:r w:rsidRPr="00700EB6">
              <w:rPr>
                <w:b/>
                <w:sz w:val="20"/>
                <w:szCs w:val="20"/>
                <w:lang w:val="en-GB"/>
              </w:rPr>
              <w:t>Sub Themes</w:t>
            </w:r>
            <w:r w:rsidRPr="00700EB6">
              <w:rPr>
                <w:sz w:val="20"/>
                <w:szCs w:val="20"/>
                <w:lang w:val="en-GB"/>
              </w:rPr>
              <w:t xml:space="preserve">:  </w:t>
            </w:r>
            <w:r>
              <w:rPr>
                <w:sz w:val="20"/>
                <w:szCs w:val="20"/>
                <w:lang w:val="en-GB"/>
              </w:rPr>
              <w:t>Economic Intelligence</w:t>
            </w:r>
            <w:r w:rsidRPr="00700EB6">
              <w:rPr>
                <w:sz w:val="20"/>
                <w:szCs w:val="20"/>
                <w:lang w:val="en-GB"/>
              </w:rPr>
              <w:t xml:space="preserve">, Foresight, </w:t>
            </w:r>
            <w:r w:rsidR="007F1525">
              <w:rPr>
                <w:sz w:val="20"/>
                <w:szCs w:val="20"/>
                <w:lang w:val="en-GB"/>
              </w:rPr>
              <w:t>social media</w:t>
            </w:r>
            <w:r w:rsidRPr="00700EB6">
              <w:rPr>
                <w:sz w:val="20"/>
                <w:szCs w:val="20"/>
                <w:lang w:val="en-GB"/>
              </w:rPr>
              <w:t xml:space="preserve"> for Competitive Intelligence</w:t>
            </w:r>
            <w:r>
              <w:rPr>
                <w:sz w:val="20"/>
                <w:szCs w:val="20"/>
                <w:lang w:val="en-GB"/>
              </w:rPr>
              <w:t>, Insight</w:t>
            </w:r>
            <w:r w:rsidR="00A40A11">
              <w:rPr>
                <w:sz w:val="20"/>
                <w:szCs w:val="20"/>
                <w:lang w:val="en-GB"/>
              </w:rPr>
              <w:t>/CI</w:t>
            </w:r>
            <w:r>
              <w:rPr>
                <w:sz w:val="20"/>
                <w:szCs w:val="20"/>
                <w:lang w:val="en-GB"/>
              </w:rPr>
              <w:t xml:space="preserve"> and innovation</w:t>
            </w:r>
            <w:r w:rsidR="0024070B">
              <w:rPr>
                <w:sz w:val="20"/>
                <w:szCs w:val="20"/>
                <w:lang w:val="en-GB"/>
              </w:rPr>
              <w:t xml:space="preserve">, AI and </w:t>
            </w:r>
            <w:r w:rsidR="004771AE">
              <w:rPr>
                <w:sz w:val="20"/>
                <w:szCs w:val="20"/>
                <w:lang w:val="en-GB"/>
              </w:rPr>
              <w:t>Competitive Intelligence</w:t>
            </w:r>
            <w:r w:rsidRPr="00700EB6">
              <w:rPr>
                <w:sz w:val="20"/>
                <w:szCs w:val="20"/>
                <w:lang w:val="en-GB"/>
              </w:rPr>
              <w:t>.</w:t>
            </w:r>
          </w:p>
        </w:tc>
      </w:tr>
      <w:tr w:rsidR="00C9241A" w:rsidRPr="00BB139D" w14:paraId="33CCEFCA" w14:textId="77777777" w:rsidTr="007F1525">
        <w:tc>
          <w:tcPr>
            <w:tcW w:w="3747" w:type="dxa"/>
            <w:gridSpan w:val="2"/>
            <w:tcBorders>
              <w:bottom w:val="single" w:sz="4" w:space="0" w:color="auto"/>
            </w:tcBorders>
            <w:shd w:val="clear" w:color="auto" w:fill="auto"/>
          </w:tcPr>
          <w:p w14:paraId="4584F7ED" w14:textId="51A5CAD7" w:rsidR="00C9241A" w:rsidRPr="00BB139D" w:rsidRDefault="00C9241A" w:rsidP="00DF00D9">
            <w:pPr>
              <w:spacing w:after="0" w:line="240" w:lineRule="auto"/>
              <w:rPr>
                <w:b/>
                <w:sz w:val="20"/>
                <w:szCs w:val="20"/>
              </w:rPr>
            </w:pPr>
            <w:r w:rsidRPr="00A65107">
              <w:rPr>
                <w:rFonts w:asciiTheme="minorHAnsi" w:hAnsiTheme="minorHAnsi" w:cstheme="minorHAnsi"/>
                <w:b/>
                <w:color w:val="000000" w:themeColor="text1"/>
                <w:sz w:val="20"/>
                <w:szCs w:val="20"/>
              </w:rPr>
              <w:t>Total capacity for 2025</w:t>
            </w:r>
          </w:p>
        </w:tc>
        <w:tc>
          <w:tcPr>
            <w:tcW w:w="5541" w:type="dxa"/>
            <w:gridSpan w:val="2"/>
            <w:tcBorders>
              <w:bottom w:val="single" w:sz="4" w:space="0" w:color="auto"/>
            </w:tcBorders>
            <w:shd w:val="clear" w:color="auto" w:fill="auto"/>
          </w:tcPr>
          <w:p w14:paraId="192822D4" w14:textId="2FEF1D36" w:rsidR="00C9241A" w:rsidRDefault="00A07449" w:rsidP="0027264C">
            <w:pPr>
              <w:spacing w:after="0" w:line="240" w:lineRule="auto"/>
              <w:rPr>
                <w:b/>
                <w:sz w:val="20"/>
                <w:szCs w:val="20"/>
              </w:rPr>
            </w:pPr>
            <w:r>
              <w:rPr>
                <w:rFonts w:asciiTheme="minorHAnsi" w:hAnsiTheme="minorHAnsi" w:cstheme="minorHAnsi"/>
                <w:b/>
                <w:color w:val="000000" w:themeColor="text1"/>
                <w:sz w:val="20"/>
                <w:szCs w:val="20"/>
              </w:rPr>
              <w:t>4</w:t>
            </w:r>
            <w:r w:rsidR="00C9241A" w:rsidRPr="00A65107">
              <w:rPr>
                <w:rFonts w:asciiTheme="minorHAnsi" w:hAnsiTheme="minorHAnsi" w:cstheme="minorHAnsi"/>
                <w:b/>
                <w:color w:val="000000" w:themeColor="text1"/>
                <w:sz w:val="20"/>
                <w:szCs w:val="20"/>
              </w:rPr>
              <w:t xml:space="preserve"> (</w:t>
            </w:r>
            <w:r>
              <w:rPr>
                <w:rFonts w:asciiTheme="minorHAnsi" w:hAnsiTheme="minorHAnsi" w:cstheme="minorHAnsi"/>
                <w:b/>
                <w:color w:val="000000" w:themeColor="text1"/>
                <w:sz w:val="20"/>
                <w:szCs w:val="20"/>
              </w:rPr>
              <w:t>2</w:t>
            </w:r>
            <w:r w:rsidR="00C9241A" w:rsidRPr="00A65107">
              <w:rPr>
                <w:rFonts w:asciiTheme="minorHAnsi" w:hAnsiTheme="minorHAnsi" w:cstheme="minorHAnsi"/>
                <w:b/>
                <w:color w:val="000000" w:themeColor="text1"/>
                <w:sz w:val="20"/>
                <w:szCs w:val="20"/>
              </w:rPr>
              <w:t xml:space="preserve"> Masters and </w:t>
            </w:r>
            <w:r w:rsidR="00C9241A">
              <w:rPr>
                <w:rFonts w:asciiTheme="minorHAnsi" w:hAnsiTheme="minorHAnsi" w:cstheme="minorHAnsi"/>
                <w:b/>
                <w:color w:val="000000" w:themeColor="text1"/>
                <w:sz w:val="20"/>
                <w:szCs w:val="20"/>
              </w:rPr>
              <w:t>2</w:t>
            </w:r>
            <w:r w:rsidR="00C9241A" w:rsidRPr="00A65107">
              <w:rPr>
                <w:rFonts w:asciiTheme="minorHAnsi" w:hAnsiTheme="minorHAnsi" w:cstheme="minorHAnsi"/>
                <w:b/>
                <w:color w:val="000000" w:themeColor="text1"/>
                <w:sz w:val="20"/>
                <w:szCs w:val="20"/>
              </w:rPr>
              <w:t xml:space="preserve"> PhD</w:t>
            </w:r>
            <w:r w:rsidR="00866216">
              <w:rPr>
                <w:rFonts w:asciiTheme="minorHAnsi" w:hAnsiTheme="minorHAnsi" w:cstheme="minorHAnsi"/>
                <w:b/>
                <w:color w:val="000000" w:themeColor="text1"/>
                <w:sz w:val="20"/>
                <w:szCs w:val="20"/>
              </w:rPr>
              <w:t>’s</w:t>
            </w:r>
            <w:r w:rsidR="00C9241A" w:rsidRPr="00A65107">
              <w:rPr>
                <w:rFonts w:asciiTheme="minorHAnsi" w:hAnsiTheme="minorHAnsi" w:cstheme="minorHAnsi"/>
                <w:b/>
                <w:color w:val="000000" w:themeColor="text1"/>
                <w:sz w:val="20"/>
                <w:szCs w:val="20"/>
              </w:rPr>
              <w:t>)</w:t>
            </w:r>
          </w:p>
        </w:tc>
      </w:tr>
      <w:tr w:rsidR="003023C3" w:rsidRPr="00BB139D" w14:paraId="021CD42D" w14:textId="77777777" w:rsidTr="001E24D2">
        <w:trPr>
          <w:trHeight w:val="190"/>
        </w:trPr>
        <w:tc>
          <w:tcPr>
            <w:tcW w:w="9288" w:type="dxa"/>
            <w:gridSpan w:val="4"/>
            <w:tcBorders>
              <w:left w:val="nil"/>
              <w:right w:val="nil"/>
            </w:tcBorders>
            <w:shd w:val="clear" w:color="auto" w:fill="auto"/>
          </w:tcPr>
          <w:p w14:paraId="1374C7AC" w14:textId="77777777" w:rsidR="003023C3" w:rsidRPr="00BB139D" w:rsidRDefault="003023C3" w:rsidP="00453686">
            <w:pPr>
              <w:spacing w:after="0" w:line="240" w:lineRule="auto"/>
              <w:rPr>
                <w:b/>
                <w:bCs/>
                <w:sz w:val="20"/>
                <w:szCs w:val="20"/>
              </w:rPr>
            </w:pPr>
          </w:p>
        </w:tc>
      </w:tr>
      <w:tr w:rsidR="00BB139D" w:rsidRPr="00BB139D" w14:paraId="5BCD55E3" w14:textId="77777777" w:rsidTr="007F1525">
        <w:trPr>
          <w:trHeight w:val="190"/>
        </w:trPr>
        <w:tc>
          <w:tcPr>
            <w:tcW w:w="2689" w:type="dxa"/>
            <w:shd w:val="clear" w:color="auto" w:fill="D9D9D9" w:themeFill="background1" w:themeFillShade="D9"/>
          </w:tcPr>
          <w:p w14:paraId="270468CA"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353" w:type="dxa"/>
            <w:gridSpan w:val="2"/>
            <w:shd w:val="clear" w:color="auto" w:fill="D9D9D9" w:themeFill="background1" w:themeFillShade="D9"/>
          </w:tcPr>
          <w:p w14:paraId="6F34C7D4"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46" w:type="dxa"/>
            <w:shd w:val="clear" w:color="auto" w:fill="D9D9D9" w:themeFill="background1" w:themeFillShade="D9"/>
          </w:tcPr>
          <w:p w14:paraId="56E2F491"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239F3794" w14:textId="77777777" w:rsidTr="007F1525">
        <w:trPr>
          <w:trHeight w:val="1358"/>
        </w:trPr>
        <w:tc>
          <w:tcPr>
            <w:tcW w:w="2689" w:type="dxa"/>
            <w:shd w:val="clear" w:color="auto" w:fill="auto"/>
          </w:tcPr>
          <w:p w14:paraId="6F64BEED" w14:textId="77777777" w:rsidR="003637C5" w:rsidRPr="00BB139D" w:rsidRDefault="00BB139D" w:rsidP="00453686">
            <w:pPr>
              <w:spacing w:after="0" w:line="240" w:lineRule="auto"/>
              <w:rPr>
                <w:b/>
                <w:bCs/>
                <w:sz w:val="20"/>
                <w:szCs w:val="20"/>
              </w:rPr>
            </w:pPr>
            <w:r w:rsidRPr="00BB139D">
              <w:rPr>
                <w:b/>
                <w:bCs/>
                <w:sz w:val="20"/>
                <w:szCs w:val="20"/>
              </w:rPr>
              <w:t xml:space="preserve">Prof </w:t>
            </w:r>
            <w:r w:rsidR="0027264C">
              <w:rPr>
                <w:b/>
                <w:bCs/>
                <w:sz w:val="20"/>
                <w:szCs w:val="20"/>
              </w:rPr>
              <w:t>Nisha Sewdass</w:t>
            </w:r>
          </w:p>
          <w:p w14:paraId="06FD85A9" w14:textId="77777777" w:rsidR="0027264C" w:rsidRDefault="003637C5" w:rsidP="0027264C">
            <w:pPr>
              <w:rPr>
                <w:rFonts w:ascii="Arial" w:eastAsia="Times New Roman" w:hAnsi="Arial"/>
                <w:noProof/>
                <w:sz w:val="18"/>
                <w:szCs w:val="20"/>
                <w:lang w:eastAsia="en-ZA"/>
              </w:rPr>
            </w:pPr>
            <w:r w:rsidRPr="00BB139D">
              <w:rPr>
                <w:sz w:val="20"/>
                <w:szCs w:val="20"/>
              </w:rPr>
              <w:t xml:space="preserve">Office: </w:t>
            </w:r>
            <w:r w:rsidR="0027264C" w:rsidRPr="0027264C">
              <w:rPr>
                <w:rFonts w:ascii="Arial" w:eastAsia="Times New Roman" w:hAnsi="Arial"/>
                <w:noProof/>
                <w:sz w:val="18"/>
                <w:szCs w:val="20"/>
                <w:lang w:eastAsia="en-ZA"/>
              </w:rPr>
              <w:t>N S Radipere Building, Office 4-66</w:t>
            </w:r>
          </w:p>
          <w:p w14:paraId="46FD45BD" w14:textId="77777777" w:rsidR="00BB139D" w:rsidRDefault="003637C5" w:rsidP="0027264C">
            <w:pPr>
              <w:rPr>
                <w:sz w:val="20"/>
                <w:szCs w:val="20"/>
              </w:rPr>
            </w:pPr>
            <w:r w:rsidRPr="00BB139D">
              <w:rPr>
                <w:sz w:val="20"/>
                <w:szCs w:val="20"/>
              </w:rPr>
              <w:t>Email:</w:t>
            </w:r>
            <w:r w:rsidR="0027264C">
              <w:rPr>
                <w:sz w:val="20"/>
                <w:szCs w:val="20"/>
              </w:rPr>
              <w:t>sewdan@unisa.ac.za</w:t>
            </w:r>
          </w:p>
          <w:p w14:paraId="7D6936FA" w14:textId="77777777" w:rsidR="00BB139D" w:rsidRDefault="00BB139D" w:rsidP="00BB139D">
            <w:pPr>
              <w:spacing w:after="0" w:line="240" w:lineRule="auto"/>
              <w:rPr>
                <w:sz w:val="20"/>
                <w:szCs w:val="20"/>
              </w:rPr>
            </w:pPr>
            <w:r w:rsidRPr="00BB139D">
              <w:rPr>
                <w:sz w:val="20"/>
                <w:szCs w:val="20"/>
              </w:rPr>
              <w:t>ORCID :</w:t>
            </w:r>
            <w:r w:rsidR="0027264C" w:rsidRPr="0027264C">
              <w:rPr>
                <w:sz w:val="20"/>
                <w:szCs w:val="20"/>
              </w:rPr>
              <w:t xml:space="preserve"> </w:t>
            </w:r>
            <w:hyperlink r:id="rId11" w:history="1">
              <w:r w:rsidR="0027264C" w:rsidRPr="00FC7D7F">
                <w:rPr>
                  <w:rStyle w:val="Hyperlink"/>
                  <w:sz w:val="20"/>
                  <w:szCs w:val="20"/>
                </w:rPr>
                <w:t>https://orcid.org/0000-0002-7259-4261</w:t>
              </w:r>
            </w:hyperlink>
          </w:p>
          <w:p w14:paraId="486F146C" w14:textId="77777777" w:rsidR="0027264C" w:rsidRPr="00BB139D" w:rsidRDefault="0027264C" w:rsidP="00BB139D">
            <w:pPr>
              <w:spacing w:after="0" w:line="240" w:lineRule="auto"/>
              <w:rPr>
                <w:sz w:val="20"/>
                <w:szCs w:val="20"/>
              </w:rPr>
            </w:pPr>
          </w:p>
          <w:p w14:paraId="686F59F5" w14:textId="77777777" w:rsidR="0027264C" w:rsidRDefault="00BB139D" w:rsidP="00BB139D">
            <w:pPr>
              <w:spacing w:after="0" w:line="240" w:lineRule="auto"/>
              <w:rPr>
                <w:sz w:val="20"/>
                <w:szCs w:val="20"/>
              </w:rPr>
            </w:pPr>
            <w:r w:rsidRPr="00BB139D">
              <w:rPr>
                <w:sz w:val="20"/>
                <w:szCs w:val="20"/>
              </w:rPr>
              <w:t>Institutional repository</w:t>
            </w:r>
            <w:r w:rsidR="002F036E">
              <w:rPr>
                <w:sz w:val="20"/>
                <w:szCs w:val="20"/>
              </w:rPr>
              <w:t xml:space="preserve"> link</w:t>
            </w:r>
            <w:r w:rsidR="0027264C">
              <w:rPr>
                <w:sz w:val="20"/>
                <w:szCs w:val="20"/>
              </w:rPr>
              <w:t>:</w:t>
            </w:r>
          </w:p>
          <w:p w14:paraId="12DB0D55" w14:textId="4ED28C5A" w:rsidR="003637C5" w:rsidRPr="00BB139D" w:rsidRDefault="00000000" w:rsidP="00BB139D">
            <w:pPr>
              <w:spacing w:after="0" w:line="240" w:lineRule="auto"/>
              <w:rPr>
                <w:sz w:val="20"/>
                <w:szCs w:val="20"/>
              </w:rPr>
            </w:pPr>
            <w:hyperlink r:id="rId12" w:history="1">
              <w:r w:rsidR="00DA7F0D" w:rsidRPr="005B5E13">
                <w:rPr>
                  <w:rStyle w:val="Hyperlink"/>
                  <w:sz w:val="20"/>
                  <w:szCs w:val="20"/>
                </w:rPr>
                <w:t>http://uir.unisa.ac.za/handle/10500/25/browse?authority=35273443-f4a5-41ef-9a31-10eb163d0abc&amp;type=author</w:t>
              </w:r>
            </w:hyperlink>
            <w:r w:rsidR="00DA7F0D">
              <w:rPr>
                <w:sz w:val="20"/>
                <w:szCs w:val="20"/>
              </w:rPr>
              <w:t xml:space="preserve"> </w:t>
            </w:r>
            <w:r w:rsidR="0027264C" w:rsidRPr="0027264C">
              <w:rPr>
                <w:sz w:val="20"/>
                <w:szCs w:val="20"/>
              </w:rPr>
              <w:t xml:space="preserve"> </w:t>
            </w:r>
            <w:r w:rsidR="00BB139D" w:rsidRPr="00BB139D">
              <w:rPr>
                <w:sz w:val="20"/>
                <w:szCs w:val="20"/>
              </w:rPr>
              <w:t xml:space="preserve">  </w:t>
            </w:r>
            <w:r w:rsidR="003637C5" w:rsidRPr="00BB139D">
              <w:rPr>
                <w:sz w:val="20"/>
                <w:szCs w:val="20"/>
              </w:rPr>
              <w:t xml:space="preserve"> </w:t>
            </w:r>
          </w:p>
        </w:tc>
        <w:tc>
          <w:tcPr>
            <w:tcW w:w="5353" w:type="dxa"/>
            <w:gridSpan w:val="2"/>
            <w:shd w:val="clear" w:color="auto" w:fill="auto"/>
          </w:tcPr>
          <w:p w14:paraId="789B3CFC" w14:textId="77777777" w:rsidR="003637C5" w:rsidRPr="00BB139D" w:rsidRDefault="0027264C" w:rsidP="007E5EB1">
            <w:pPr>
              <w:spacing w:after="0" w:line="240" w:lineRule="auto"/>
              <w:jc w:val="both"/>
              <w:rPr>
                <w:sz w:val="20"/>
                <w:szCs w:val="20"/>
              </w:rPr>
            </w:pPr>
            <w:r w:rsidRPr="0027264C">
              <w:rPr>
                <w:sz w:val="20"/>
                <w:szCs w:val="20"/>
              </w:rPr>
              <w:t>Prof Nisha Sewdass is a Professor in the Department of Business Management at the University of South Africa (UNISA). Her research focus areas include Strategic Competitive Intelligence, economic intelligence and Foresight and she has conducted several certificate courses and workshops in these areas for government departments and industry in South Africa. She is currently working on Big data analytics for CI, Foresight and the use of social media for Competitive intelligence. She is also the founder and Chair of the SCIP (Strategic and Competitive Intelligence Professionals) South African Chapter. Prof Sewdass also served as a member on the SCIP Board of Directors</w:t>
            </w:r>
            <w:r w:rsidR="007E5EB1">
              <w:rPr>
                <w:sz w:val="20"/>
                <w:szCs w:val="20"/>
              </w:rPr>
              <w:t xml:space="preserve"> </w:t>
            </w:r>
            <w:r w:rsidR="007E5EB1" w:rsidRPr="007E5EB1">
              <w:rPr>
                <w:sz w:val="20"/>
                <w:szCs w:val="20"/>
              </w:rPr>
              <w:t>(2015-2017</w:t>
            </w:r>
            <w:r w:rsidR="007E5EB1">
              <w:rPr>
                <w:sz w:val="20"/>
                <w:szCs w:val="20"/>
              </w:rPr>
              <w:t>)</w:t>
            </w:r>
            <w:r w:rsidRPr="0027264C">
              <w:rPr>
                <w:sz w:val="20"/>
                <w:szCs w:val="20"/>
              </w:rPr>
              <w:t xml:space="preserve">. </w:t>
            </w:r>
            <w:r w:rsidR="007E5EB1" w:rsidRPr="007E5EB1">
              <w:rPr>
                <w:bCs/>
                <w:sz w:val="20"/>
                <w:szCs w:val="20"/>
                <w:lang w:val="en-GB"/>
              </w:rPr>
              <w:t>She is also a member of Open University of Dakhla, Morocco and a member of the Forum of African Associations of Economic Intelligence</w:t>
            </w:r>
            <w:r w:rsidR="007E5EB1">
              <w:rPr>
                <w:bCs/>
                <w:sz w:val="20"/>
                <w:szCs w:val="20"/>
                <w:lang w:val="en-GB"/>
              </w:rPr>
              <w:t xml:space="preserve">. </w:t>
            </w:r>
            <w:r w:rsidR="007E5EB1" w:rsidRPr="007E5EB1">
              <w:rPr>
                <w:bCs/>
                <w:sz w:val="20"/>
                <w:szCs w:val="20"/>
              </w:rPr>
              <w:t>She was inducted into the International Intelligence Council of Competitive Intelligence Fellows on 25 October 2018 and awarded with the CI Fellow Award</w:t>
            </w:r>
            <w:r w:rsidR="007E5EB1">
              <w:rPr>
                <w:bCs/>
                <w:sz w:val="20"/>
                <w:szCs w:val="20"/>
              </w:rPr>
              <w:t xml:space="preserve">. </w:t>
            </w:r>
            <w:r w:rsidRPr="0027264C">
              <w:rPr>
                <w:sz w:val="20"/>
                <w:szCs w:val="20"/>
              </w:rPr>
              <w:t xml:space="preserve">She has published </w:t>
            </w:r>
            <w:r w:rsidR="007E5EB1">
              <w:rPr>
                <w:sz w:val="20"/>
                <w:szCs w:val="20"/>
              </w:rPr>
              <w:t xml:space="preserve">several papers in accredited academic journals </w:t>
            </w:r>
            <w:r w:rsidRPr="0027264C">
              <w:rPr>
                <w:sz w:val="20"/>
                <w:szCs w:val="20"/>
              </w:rPr>
              <w:t>and presen</w:t>
            </w:r>
            <w:r w:rsidR="007E00CD">
              <w:rPr>
                <w:sz w:val="20"/>
                <w:szCs w:val="20"/>
              </w:rPr>
              <w:t xml:space="preserve">ted her research </w:t>
            </w:r>
            <w:r w:rsidRPr="0027264C">
              <w:rPr>
                <w:sz w:val="20"/>
                <w:szCs w:val="20"/>
              </w:rPr>
              <w:t xml:space="preserve">at local and international conferences.  </w:t>
            </w:r>
          </w:p>
        </w:tc>
        <w:tc>
          <w:tcPr>
            <w:tcW w:w="1246" w:type="dxa"/>
            <w:shd w:val="clear" w:color="auto" w:fill="auto"/>
          </w:tcPr>
          <w:p w14:paraId="767F77D8" w14:textId="3E56ADFE" w:rsidR="00BB139D" w:rsidRDefault="004771AE" w:rsidP="00BB139D">
            <w:pPr>
              <w:spacing w:after="0" w:line="240" w:lineRule="auto"/>
              <w:rPr>
                <w:sz w:val="20"/>
                <w:szCs w:val="20"/>
              </w:rPr>
            </w:pPr>
            <w:r>
              <w:rPr>
                <w:sz w:val="20"/>
                <w:szCs w:val="20"/>
              </w:rPr>
              <w:t>2</w:t>
            </w:r>
            <w:r w:rsidR="007F14D5">
              <w:rPr>
                <w:sz w:val="20"/>
                <w:szCs w:val="20"/>
              </w:rPr>
              <w:t xml:space="preserve"> Master</w:t>
            </w:r>
          </w:p>
          <w:p w14:paraId="132593AE" w14:textId="1E5DBB79" w:rsidR="007F14D5" w:rsidRPr="00BB139D" w:rsidRDefault="004771AE" w:rsidP="00BB139D">
            <w:pPr>
              <w:spacing w:after="0" w:line="240" w:lineRule="auto"/>
              <w:rPr>
                <w:sz w:val="20"/>
                <w:szCs w:val="20"/>
              </w:rPr>
            </w:pPr>
            <w:r>
              <w:rPr>
                <w:sz w:val="20"/>
                <w:szCs w:val="20"/>
              </w:rPr>
              <w:t>2</w:t>
            </w:r>
            <w:r w:rsidR="007F14D5">
              <w:rPr>
                <w:sz w:val="20"/>
                <w:szCs w:val="20"/>
              </w:rPr>
              <w:t xml:space="preserve"> PhD </w:t>
            </w:r>
          </w:p>
        </w:tc>
      </w:tr>
      <w:tr w:rsidR="00DA7F0D" w:rsidRPr="00BB139D" w14:paraId="5C3EE23D" w14:textId="77777777" w:rsidTr="00C17263">
        <w:trPr>
          <w:trHeight w:val="1358"/>
        </w:trPr>
        <w:tc>
          <w:tcPr>
            <w:tcW w:w="2689" w:type="dxa"/>
            <w:shd w:val="clear" w:color="auto" w:fill="auto"/>
          </w:tcPr>
          <w:p w14:paraId="48D67867" w14:textId="77777777" w:rsidR="00DA7F0D" w:rsidRDefault="00DA7F0D" w:rsidP="00DA7F0D">
            <w:pPr>
              <w:spacing w:after="0" w:line="240" w:lineRule="auto"/>
              <w:rPr>
                <w:b/>
                <w:bCs/>
                <w:sz w:val="20"/>
                <w:szCs w:val="20"/>
              </w:rPr>
            </w:pPr>
            <w:r>
              <w:rPr>
                <w:b/>
                <w:bCs/>
                <w:sz w:val="20"/>
                <w:szCs w:val="20"/>
              </w:rPr>
              <w:t>Mr Kagiso Mashego</w:t>
            </w:r>
          </w:p>
          <w:p w14:paraId="0B9031AE" w14:textId="6DA2F237" w:rsidR="00DA7F0D" w:rsidRDefault="00DA7F0D" w:rsidP="00DA7F0D">
            <w:pPr>
              <w:rPr>
                <w:rFonts w:ascii="Arial" w:eastAsia="Times New Roman" w:hAnsi="Arial"/>
                <w:noProof/>
                <w:sz w:val="18"/>
                <w:szCs w:val="20"/>
                <w:lang w:eastAsia="en-ZA"/>
              </w:rPr>
            </w:pPr>
            <w:r w:rsidRPr="00BB139D">
              <w:rPr>
                <w:sz w:val="20"/>
                <w:szCs w:val="20"/>
              </w:rPr>
              <w:t xml:space="preserve">Office: </w:t>
            </w:r>
            <w:r w:rsidRPr="0027264C">
              <w:rPr>
                <w:rFonts w:ascii="Arial" w:eastAsia="Times New Roman" w:hAnsi="Arial"/>
                <w:noProof/>
                <w:sz w:val="18"/>
                <w:szCs w:val="20"/>
                <w:lang w:eastAsia="en-ZA"/>
              </w:rPr>
              <w:t>N S Radipere Building, Office 4-</w:t>
            </w:r>
            <w:r>
              <w:rPr>
                <w:rFonts w:ascii="Arial" w:eastAsia="Times New Roman" w:hAnsi="Arial"/>
                <w:noProof/>
                <w:sz w:val="18"/>
                <w:szCs w:val="20"/>
                <w:lang w:eastAsia="en-ZA"/>
              </w:rPr>
              <w:t>23</w:t>
            </w:r>
          </w:p>
          <w:p w14:paraId="66D5E47A" w14:textId="1E36CE8C" w:rsidR="00DA7F0D" w:rsidRDefault="00DA7F0D" w:rsidP="00DA7F0D">
            <w:pPr>
              <w:spacing w:after="0" w:line="240" w:lineRule="auto"/>
              <w:rPr>
                <w:bCs/>
                <w:sz w:val="20"/>
                <w:szCs w:val="20"/>
              </w:rPr>
            </w:pPr>
            <w:r>
              <w:rPr>
                <w:bCs/>
                <w:sz w:val="20"/>
                <w:szCs w:val="20"/>
              </w:rPr>
              <w:t xml:space="preserve">Email: </w:t>
            </w:r>
            <w:hyperlink r:id="rId13" w:history="1">
              <w:r w:rsidRPr="005B5E13">
                <w:rPr>
                  <w:rStyle w:val="Hyperlink"/>
                </w:rPr>
                <w:t>mashek</w:t>
              </w:r>
              <w:r w:rsidRPr="005B5E13">
                <w:rPr>
                  <w:rStyle w:val="Hyperlink"/>
                  <w:bCs/>
                  <w:sz w:val="20"/>
                  <w:szCs w:val="20"/>
                </w:rPr>
                <w:t>@unisa.ac.za</w:t>
              </w:r>
            </w:hyperlink>
          </w:p>
          <w:p w14:paraId="465B875B" w14:textId="2E25C8C9" w:rsidR="00DA7F0D" w:rsidRPr="009331BD" w:rsidRDefault="00DA7F0D" w:rsidP="00DA7F0D">
            <w:pPr>
              <w:spacing w:after="0" w:line="240" w:lineRule="auto"/>
              <w:rPr>
                <w:b/>
                <w:bCs/>
                <w:sz w:val="20"/>
                <w:szCs w:val="20"/>
                <w:highlight w:val="yellow"/>
              </w:rPr>
            </w:pPr>
            <w:r>
              <w:rPr>
                <w:bCs/>
                <w:sz w:val="20"/>
                <w:szCs w:val="20"/>
              </w:rPr>
              <w:t>Phone: 012 484 1228</w:t>
            </w:r>
          </w:p>
        </w:tc>
        <w:tc>
          <w:tcPr>
            <w:tcW w:w="5353" w:type="dxa"/>
            <w:gridSpan w:val="2"/>
            <w:shd w:val="clear" w:color="auto" w:fill="auto"/>
          </w:tcPr>
          <w:p w14:paraId="4064880C" w14:textId="1711F090" w:rsidR="00DA7F0D" w:rsidRPr="009331BD" w:rsidRDefault="00DA7F0D" w:rsidP="00DA7F0D">
            <w:pPr>
              <w:spacing w:after="0" w:line="240" w:lineRule="auto"/>
              <w:jc w:val="both"/>
              <w:rPr>
                <w:sz w:val="20"/>
                <w:szCs w:val="20"/>
                <w:highlight w:val="yellow"/>
              </w:rPr>
            </w:pPr>
            <w:r>
              <w:rPr>
                <w:rFonts w:asciiTheme="minorHAnsi" w:hAnsiTheme="minorHAnsi" w:cstheme="minorHAnsi"/>
                <w:bCs/>
                <w:color w:val="000000" w:themeColor="text1"/>
                <w:sz w:val="20"/>
                <w:szCs w:val="20"/>
              </w:rPr>
              <w:t xml:space="preserve">Mr </w:t>
            </w:r>
            <w:r w:rsidRPr="000F442C">
              <w:rPr>
                <w:rFonts w:asciiTheme="minorHAnsi" w:hAnsiTheme="minorHAnsi" w:cstheme="minorHAnsi"/>
                <w:bCs/>
                <w:color w:val="000000" w:themeColor="text1"/>
                <w:sz w:val="20"/>
                <w:szCs w:val="20"/>
              </w:rPr>
              <w:t>Ka</w:t>
            </w:r>
            <w:r>
              <w:rPr>
                <w:rFonts w:asciiTheme="minorHAnsi" w:hAnsiTheme="minorHAnsi" w:cstheme="minorHAnsi"/>
                <w:bCs/>
                <w:color w:val="000000" w:themeColor="text1"/>
                <w:sz w:val="20"/>
                <w:szCs w:val="20"/>
              </w:rPr>
              <w:t>giso Mashego is a</w:t>
            </w:r>
            <w:r w:rsidRPr="000F442C">
              <w:rPr>
                <w:rFonts w:asciiTheme="minorHAnsi" w:hAnsiTheme="minorHAnsi" w:cstheme="minorHAnsi"/>
                <w:bCs/>
                <w:color w:val="000000" w:themeColor="text1"/>
                <w:sz w:val="20"/>
                <w:szCs w:val="20"/>
              </w:rPr>
              <w:t xml:space="preserve"> Lecturer within the Department of Business Management</w:t>
            </w:r>
            <w:r>
              <w:rPr>
                <w:rFonts w:asciiTheme="minorHAnsi" w:hAnsiTheme="minorHAnsi" w:cstheme="minorHAnsi"/>
                <w:bCs/>
                <w:color w:val="000000" w:themeColor="text1"/>
                <w:sz w:val="20"/>
                <w:szCs w:val="20"/>
              </w:rPr>
              <w:t>, teaching Research project in Business Management and Principles of Global Business Management</w:t>
            </w:r>
            <w:r w:rsidRPr="000F442C">
              <w:rPr>
                <w:rFonts w:asciiTheme="minorHAnsi" w:hAnsiTheme="minorHAnsi" w:cstheme="minorHAnsi"/>
                <w:bCs/>
                <w:color w:val="000000" w:themeColor="text1"/>
                <w:sz w:val="20"/>
                <w:szCs w:val="20"/>
              </w:rPr>
              <w:t xml:space="preserve">. </w:t>
            </w:r>
            <w:r>
              <w:rPr>
                <w:rFonts w:asciiTheme="minorHAnsi" w:hAnsiTheme="minorHAnsi" w:cstheme="minorHAnsi"/>
                <w:bCs/>
                <w:color w:val="000000" w:themeColor="text1"/>
                <w:sz w:val="20"/>
                <w:szCs w:val="20"/>
              </w:rPr>
              <w:t>H</w:t>
            </w:r>
            <w:r w:rsidRPr="005E5B19">
              <w:rPr>
                <w:bCs/>
                <w:sz w:val="20"/>
                <w:szCs w:val="20"/>
              </w:rPr>
              <w:t>e completed h</w:t>
            </w:r>
            <w:r>
              <w:rPr>
                <w:bCs/>
                <w:sz w:val="20"/>
                <w:szCs w:val="20"/>
              </w:rPr>
              <w:t>is</w:t>
            </w:r>
            <w:r w:rsidRPr="005E5B19">
              <w:rPr>
                <w:bCs/>
                <w:sz w:val="20"/>
                <w:szCs w:val="20"/>
              </w:rPr>
              <w:t xml:space="preserve"> MCom degree </w:t>
            </w:r>
            <w:r>
              <w:rPr>
                <w:bCs/>
                <w:sz w:val="20"/>
                <w:szCs w:val="20"/>
              </w:rPr>
              <w:t>at UNISA b</w:t>
            </w:r>
            <w:r w:rsidRPr="005E5B19">
              <w:rPr>
                <w:bCs/>
                <w:sz w:val="20"/>
                <w:szCs w:val="20"/>
              </w:rPr>
              <w:t xml:space="preserve">y exploring </w:t>
            </w:r>
            <w:r>
              <w:rPr>
                <w:bCs/>
                <w:sz w:val="20"/>
                <w:szCs w:val="20"/>
              </w:rPr>
              <w:t>innovation management practices in SMEs in 2020. H</w:t>
            </w:r>
            <w:r w:rsidRPr="005E5B19">
              <w:rPr>
                <w:bCs/>
                <w:sz w:val="20"/>
                <w:szCs w:val="20"/>
              </w:rPr>
              <w:t>e has published in an accredited journal</w:t>
            </w:r>
            <w:r>
              <w:rPr>
                <w:bCs/>
                <w:sz w:val="20"/>
                <w:szCs w:val="20"/>
              </w:rPr>
              <w:t xml:space="preserve"> and his </w:t>
            </w:r>
            <w:r w:rsidRPr="000F442C">
              <w:rPr>
                <w:rFonts w:asciiTheme="minorHAnsi" w:hAnsiTheme="minorHAnsi" w:cstheme="minorHAnsi"/>
                <w:bCs/>
                <w:color w:val="000000" w:themeColor="text1"/>
                <w:sz w:val="20"/>
                <w:szCs w:val="20"/>
              </w:rPr>
              <w:t xml:space="preserve">research interests include the </w:t>
            </w:r>
            <w:r>
              <w:rPr>
                <w:rFonts w:asciiTheme="minorHAnsi" w:hAnsiTheme="minorHAnsi" w:cstheme="minorHAnsi"/>
                <w:bCs/>
                <w:color w:val="000000" w:themeColor="text1"/>
                <w:sz w:val="20"/>
                <w:szCs w:val="20"/>
              </w:rPr>
              <w:t xml:space="preserve">disruptive innovation; competitive intelligence; and business model innovation. </w:t>
            </w:r>
            <w:r>
              <w:rPr>
                <w:bCs/>
                <w:sz w:val="20"/>
                <w:szCs w:val="20"/>
              </w:rPr>
              <w:t>He is passionate about the roles of intelligence and innovation in resolving social and corporate challenges.</w:t>
            </w:r>
          </w:p>
        </w:tc>
        <w:tc>
          <w:tcPr>
            <w:tcW w:w="1246" w:type="dxa"/>
            <w:shd w:val="clear" w:color="auto" w:fill="auto"/>
          </w:tcPr>
          <w:p w14:paraId="6BC413F7" w14:textId="68C0402E" w:rsidR="00DA7F0D" w:rsidRDefault="00DA7F0D" w:rsidP="00DA7F0D">
            <w:pPr>
              <w:spacing w:after="0" w:line="240" w:lineRule="auto"/>
              <w:rPr>
                <w:sz w:val="20"/>
                <w:szCs w:val="20"/>
              </w:rPr>
            </w:pPr>
            <w:r>
              <w:rPr>
                <w:sz w:val="20"/>
                <w:szCs w:val="20"/>
              </w:rPr>
              <w:t>1 Master</w:t>
            </w:r>
          </w:p>
        </w:tc>
      </w:tr>
      <w:tr w:rsidR="00DA7F0D" w:rsidRPr="00BB139D" w14:paraId="39997818" w14:textId="77777777" w:rsidTr="009E536F">
        <w:trPr>
          <w:trHeight w:val="276"/>
        </w:trPr>
        <w:tc>
          <w:tcPr>
            <w:tcW w:w="2689" w:type="dxa"/>
            <w:shd w:val="clear" w:color="auto" w:fill="auto"/>
          </w:tcPr>
          <w:p w14:paraId="2E23F98A" w14:textId="77777777" w:rsidR="00DA7F0D" w:rsidRPr="00BB139D" w:rsidRDefault="00DA7F0D" w:rsidP="00DA7F0D">
            <w:pPr>
              <w:spacing w:after="0" w:line="240" w:lineRule="auto"/>
              <w:rPr>
                <w:b/>
                <w:bCs/>
                <w:sz w:val="20"/>
                <w:szCs w:val="20"/>
              </w:rPr>
            </w:pPr>
            <w:r w:rsidRPr="00BB139D">
              <w:rPr>
                <w:b/>
                <w:bCs/>
                <w:sz w:val="20"/>
                <w:szCs w:val="20"/>
              </w:rPr>
              <w:t>Model of supervision</w:t>
            </w:r>
          </w:p>
        </w:tc>
        <w:tc>
          <w:tcPr>
            <w:tcW w:w="6599" w:type="dxa"/>
            <w:gridSpan w:val="3"/>
            <w:shd w:val="clear" w:color="auto" w:fill="auto"/>
          </w:tcPr>
          <w:p w14:paraId="3528F5A1" w14:textId="77777777" w:rsidR="00DA7F0D" w:rsidRPr="00BB139D" w:rsidRDefault="00DA7F0D" w:rsidP="00DA7F0D">
            <w:pPr>
              <w:spacing w:after="0" w:line="240" w:lineRule="auto"/>
              <w:jc w:val="both"/>
              <w:rPr>
                <w:color w:val="1E2921"/>
                <w:sz w:val="20"/>
                <w:szCs w:val="20"/>
              </w:rPr>
            </w:pPr>
            <w:r w:rsidRPr="00BB139D">
              <w:rPr>
                <w:color w:val="1E2921"/>
                <w:sz w:val="20"/>
                <w:szCs w:val="20"/>
              </w:rPr>
              <w:t xml:space="preserve">Candidates </w:t>
            </w:r>
            <w:r>
              <w:rPr>
                <w:color w:val="1E2921"/>
                <w:sz w:val="20"/>
                <w:szCs w:val="20"/>
              </w:rPr>
              <w:t xml:space="preserve">are expected to submit a </w:t>
            </w:r>
            <w:r w:rsidRPr="00C52FE2">
              <w:rPr>
                <w:color w:val="1E2921"/>
                <w:sz w:val="20"/>
                <w:szCs w:val="20"/>
              </w:rPr>
              <w:t>well-articulated expression</w:t>
            </w:r>
            <w:r>
              <w:rPr>
                <w:color w:val="1E2921"/>
                <w:sz w:val="20"/>
                <w:szCs w:val="20"/>
              </w:rPr>
              <w:t xml:space="preserve"> of interest on application, where the candidate </w:t>
            </w:r>
            <w:r w:rsidRPr="00C52FE2">
              <w:rPr>
                <w:color w:val="1E2921"/>
                <w:sz w:val="20"/>
                <w:szCs w:val="20"/>
              </w:rPr>
              <w:t>demonstrate</w:t>
            </w:r>
            <w:r>
              <w:rPr>
                <w:color w:val="1E2921"/>
                <w:sz w:val="20"/>
                <w:szCs w:val="20"/>
              </w:rPr>
              <w:t xml:space="preserve">s their </w:t>
            </w:r>
            <w:r w:rsidRPr="00C52FE2">
              <w:rPr>
                <w:color w:val="1E2921"/>
                <w:sz w:val="20"/>
                <w:szCs w:val="20"/>
              </w:rPr>
              <w:t>insight and interest in the topic a</w:t>
            </w:r>
            <w:r>
              <w:rPr>
                <w:color w:val="1E2921"/>
                <w:sz w:val="20"/>
                <w:szCs w:val="20"/>
              </w:rPr>
              <w:t xml:space="preserve">nd it is clearly linked to the </w:t>
            </w:r>
            <w:r w:rsidRPr="00C52FE2">
              <w:rPr>
                <w:color w:val="1E2921"/>
                <w:sz w:val="20"/>
                <w:szCs w:val="20"/>
              </w:rPr>
              <w:t>research focus</w:t>
            </w:r>
            <w:r>
              <w:rPr>
                <w:color w:val="1E2921"/>
                <w:sz w:val="20"/>
                <w:szCs w:val="20"/>
              </w:rPr>
              <w:t xml:space="preserve"> area</w:t>
            </w:r>
            <w:r w:rsidRPr="00C52FE2">
              <w:rPr>
                <w:color w:val="1E2921"/>
                <w:sz w:val="20"/>
                <w:szCs w:val="20"/>
              </w:rPr>
              <w:t xml:space="preserve">. If you get accepted to this focus area, you will be allocated a supervisor or two who will guide you on your topic and assist you </w:t>
            </w:r>
            <w:r>
              <w:rPr>
                <w:color w:val="1E2921"/>
                <w:sz w:val="20"/>
                <w:szCs w:val="20"/>
              </w:rPr>
              <w:t>with your research proposal and dissertation. However, you will</w:t>
            </w:r>
            <w:r w:rsidRPr="00BB139D">
              <w:rPr>
                <w:color w:val="1E2921"/>
                <w:sz w:val="20"/>
                <w:szCs w:val="20"/>
              </w:rPr>
              <w:t xml:space="preserve"> be required to work independently within the requirements of higher degree studies. </w:t>
            </w:r>
            <w:r w:rsidRPr="00B811D6">
              <w:rPr>
                <w:sz w:val="20"/>
                <w:szCs w:val="20"/>
              </w:rPr>
              <w:t>Additionally, the candidate will have to present his/her work to a panel of academic</w:t>
            </w:r>
            <w:r>
              <w:rPr>
                <w:sz w:val="20"/>
                <w:szCs w:val="20"/>
              </w:rPr>
              <w:t>s</w:t>
            </w:r>
            <w:r w:rsidRPr="00B811D6">
              <w:rPr>
                <w:sz w:val="20"/>
                <w:szCs w:val="20"/>
              </w:rPr>
              <w:t xml:space="preserve"> at</w:t>
            </w:r>
            <w:r>
              <w:rPr>
                <w:sz w:val="20"/>
                <w:szCs w:val="20"/>
              </w:rPr>
              <w:t xml:space="preserve"> a</w:t>
            </w:r>
            <w:r w:rsidRPr="00B811D6">
              <w:rPr>
                <w:sz w:val="20"/>
                <w:szCs w:val="20"/>
              </w:rPr>
              <w:t xml:space="preserve"> colloquium. </w:t>
            </w:r>
            <w:r>
              <w:rPr>
                <w:sz w:val="20"/>
                <w:szCs w:val="20"/>
              </w:rPr>
              <w:t>T</w:t>
            </w:r>
            <w:r w:rsidRPr="00B811D6">
              <w:rPr>
                <w:sz w:val="20"/>
                <w:szCs w:val="20"/>
              </w:rPr>
              <w:t xml:space="preserve">he candidate should submit his/her work to be reviewed by a blind peer review process. </w:t>
            </w:r>
          </w:p>
          <w:p w14:paraId="7F63FACD" w14:textId="77777777" w:rsidR="00DA7F0D" w:rsidRPr="00BB139D" w:rsidRDefault="00DA7F0D" w:rsidP="00DA7F0D">
            <w:pPr>
              <w:spacing w:after="0" w:line="240" w:lineRule="auto"/>
              <w:jc w:val="both"/>
              <w:rPr>
                <w:color w:val="1E2921"/>
                <w:sz w:val="20"/>
                <w:szCs w:val="20"/>
              </w:rPr>
            </w:pPr>
          </w:p>
        </w:tc>
      </w:tr>
      <w:tr w:rsidR="00DA7F0D" w:rsidRPr="00BB139D" w14:paraId="0F73D096" w14:textId="77777777" w:rsidTr="009E536F">
        <w:trPr>
          <w:trHeight w:val="276"/>
        </w:trPr>
        <w:tc>
          <w:tcPr>
            <w:tcW w:w="2689" w:type="dxa"/>
            <w:shd w:val="clear" w:color="auto" w:fill="auto"/>
          </w:tcPr>
          <w:p w14:paraId="4FA100AB" w14:textId="77777777" w:rsidR="00DA7F0D" w:rsidRPr="00600BAC" w:rsidRDefault="00DA7F0D" w:rsidP="00DA7F0D">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599" w:type="dxa"/>
            <w:gridSpan w:val="3"/>
            <w:shd w:val="clear" w:color="auto" w:fill="auto"/>
          </w:tcPr>
          <w:p w14:paraId="6EA372B1" w14:textId="77777777" w:rsidR="00DA7F0D" w:rsidRPr="00303B90" w:rsidRDefault="00DA7F0D" w:rsidP="00DA7F0D">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DA7F0D" w:rsidRPr="00BB139D" w14:paraId="6EF1A9A1" w14:textId="77777777" w:rsidTr="009E536F">
        <w:trPr>
          <w:trHeight w:val="276"/>
        </w:trPr>
        <w:tc>
          <w:tcPr>
            <w:tcW w:w="2689" w:type="dxa"/>
            <w:shd w:val="clear" w:color="auto" w:fill="auto"/>
          </w:tcPr>
          <w:p w14:paraId="6915CDB3" w14:textId="77777777" w:rsidR="00DA7F0D" w:rsidRPr="00BB139D" w:rsidRDefault="00DA7F0D" w:rsidP="00DA7F0D">
            <w:pPr>
              <w:spacing w:after="0" w:line="240" w:lineRule="auto"/>
              <w:rPr>
                <w:b/>
                <w:bCs/>
                <w:sz w:val="20"/>
                <w:szCs w:val="20"/>
              </w:rPr>
            </w:pPr>
            <w:r w:rsidRPr="00BB139D">
              <w:rPr>
                <w:b/>
                <w:bCs/>
                <w:sz w:val="20"/>
                <w:szCs w:val="20"/>
              </w:rPr>
              <w:t>Selection Procedure</w:t>
            </w:r>
          </w:p>
        </w:tc>
        <w:tc>
          <w:tcPr>
            <w:tcW w:w="6599" w:type="dxa"/>
            <w:gridSpan w:val="3"/>
            <w:shd w:val="clear" w:color="auto" w:fill="auto"/>
          </w:tcPr>
          <w:p w14:paraId="0481499C" w14:textId="77777777" w:rsidR="00DA7F0D" w:rsidRPr="00BB139D" w:rsidRDefault="00DA7F0D" w:rsidP="00DA7F0D">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procedure.</w:t>
            </w:r>
            <w:r w:rsidRPr="00303B90">
              <w:rPr>
                <w:color w:val="1E2921"/>
                <w:sz w:val="20"/>
                <w:szCs w:val="20"/>
              </w:rPr>
              <w:t xml:space="preserve"> </w:t>
            </w:r>
          </w:p>
        </w:tc>
      </w:tr>
      <w:tr w:rsidR="00DA7F0D" w:rsidRPr="00BB139D" w14:paraId="3EB689AF" w14:textId="77777777" w:rsidTr="009E536F">
        <w:trPr>
          <w:trHeight w:val="276"/>
        </w:trPr>
        <w:tc>
          <w:tcPr>
            <w:tcW w:w="2689" w:type="dxa"/>
            <w:shd w:val="clear" w:color="auto" w:fill="auto"/>
          </w:tcPr>
          <w:p w14:paraId="48057C06" w14:textId="77777777" w:rsidR="00DA7F0D" w:rsidRPr="00BB139D" w:rsidRDefault="00DA7F0D" w:rsidP="00DA7F0D">
            <w:pPr>
              <w:spacing w:after="0" w:line="240" w:lineRule="auto"/>
              <w:rPr>
                <w:b/>
                <w:bCs/>
                <w:sz w:val="20"/>
                <w:szCs w:val="20"/>
              </w:rPr>
            </w:pPr>
            <w:r w:rsidRPr="00BB139D">
              <w:rPr>
                <w:b/>
                <w:bCs/>
                <w:sz w:val="20"/>
                <w:szCs w:val="20"/>
              </w:rPr>
              <w:t xml:space="preserve">Research </w:t>
            </w:r>
            <w:r>
              <w:rPr>
                <w:b/>
                <w:bCs/>
                <w:sz w:val="20"/>
                <w:szCs w:val="20"/>
              </w:rPr>
              <w:t>scope</w:t>
            </w:r>
          </w:p>
        </w:tc>
        <w:tc>
          <w:tcPr>
            <w:tcW w:w="6599" w:type="dxa"/>
            <w:gridSpan w:val="3"/>
            <w:shd w:val="clear" w:color="auto" w:fill="auto"/>
          </w:tcPr>
          <w:p w14:paraId="1573D9CF" w14:textId="7B77B8CD" w:rsidR="00DA7F0D" w:rsidRDefault="00DA7F0D" w:rsidP="00DA7F0D">
            <w:pPr>
              <w:spacing w:after="0" w:line="240" w:lineRule="auto"/>
              <w:rPr>
                <w:sz w:val="20"/>
                <w:szCs w:val="20"/>
                <w:lang w:val="en-GB"/>
              </w:rPr>
            </w:pPr>
            <w:r>
              <w:rPr>
                <w:sz w:val="20"/>
                <w:szCs w:val="20"/>
              </w:rPr>
              <w:t xml:space="preserve">This research focus area is specifically for research that will be conducted on </w:t>
            </w:r>
            <w:r w:rsidRPr="00BA7318">
              <w:rPr>
                <w:sz w:val="20"/>
                <w:szCs w:val="20"/>
              </w:rPr>
              <w:t>Competitive Intelligence</w:t>
            </w:r>
            <w:r>
              <w:rPr>
                <w:sz w:val="20"/>
                <w:szCs w:val="20"/>
              </w:rPr>
              <w:t xml:space="preserve">, </w:t>
            </w:r>
            <w:r w:rsidRPr="00BA7318">
              <w:rPr>
                <w:sz w:val="20"/>
                <w:szCs w:val="20"/>
              </w:rPr>
              <w:t>Economic Intelligence</w:t>
            </w:r>
            <w:r>
              <w:rPr>
                <w:sz w:val="20"/>
                <w:szCs w:val="20"/>
              </w:rPr>
              <w:t>, Strategic</w:t>
            </w:r>
            <w:r w:rsidRPr="00BA7318">
              <w:rPr>
                <w:sz w:val="20"/>
                <w:szCs w:val="20"/>
                <w:lang w:val="en-GB"/>
              </w:rPr>
              <w:t xml:space="preserve"> Foresight, Social media for Competitive Intelligence, Insight</w:t>
            </w:r>
            <w:r>
              <w:rPr>
                <w:sz w:val="20"/>
                <w:szCs w:val="20"/>
                <w:lang w:val="en-GB"/>
              </w:rPr>
              <w:t>/CI</w:t>
            </w:r>
            <w:r w:rsidRPr="00BA7318">
              <w:rPr>
                <w:sz w:val="20"/>
                <w:szCs w:val="20"/>
                <w:lang w:val="en-GB"/>
              </w:rPr>
              <w:t xml:space="preserve"> and innovation.</w:t>
            </w:r>
            <w:r>
              <w:rPr>
                <w:sz w:val="20"/>
                <w:szCs w:val="20"/>
                <w:lang w:val="en-GB"/>
              </w:rPr>
              <w:t xml:space="preserve"> It is recommended that you consult the other research focus areas if your topic does not fall within this scope. Application simply to produce a CI Framework </w:t>
            </w:r>
            <w:r>
              <w:rPr>
                <w:sz w:val="20"/>
                <w:szCs w:val="20"/>
                <w:lang w:val="en-GB"/>
              </w:rPr>
              <w:lastRenderedPageBreak/>
              <w:t>or model or to recommend the application of CI for various companies or sectors will NOT be considered.</w:t>
            </w:r>
          </w:p>
          <w:p w14:paraId="187795B2" w14:textId="77777777" w:rsidR="00DA7F0D" w:rsidRPr="00BA7318" w:rsidRDefault="00DA7F0D" w:rsidP="00DA7F0D">
            <w:pPr>
              <w:spacing w:after="0" w:line="240" w:lineRule="auto"/>
              <w:rPr>
                <w:sz w:val="20"/>
                <w:szCs w:val="20"/>
                <w:lang w:val="en-GB"/>
              </w:rPr>
            </w:pPr>
          </w:p>
        </w:tc>
      </w:tr>
      <w:tr w:rsidR="00DA7F0D" w:rsidRPr="00BB139D" w14:paraId="5EEA77A3" w14:textId="77777777" w:rsidTr="009E536F">
        <w:trPr>
          <w:trHeight w:val="276"/>
        </w:trPr>
        <w:tc>
          <w:tcPr>
            <w:tcW w:w="2689" w:type="dxa"/>
            <w:shd w:val="clear" w:color="auto" w:fill="auto"/>
          </w:tcPr>
          <w:p w14:paraId="7BCCC501" w14:textId="77777777" w:rsidR="00DA7F0D" w:rsidRPr="00BB139D" w:rsidRDefault="00DA7F0D" w:rsidP="00DA7F0D">
            <w:pPr>
              <w:spacing w:after="0" w:line="240" w:lineRule="auto"/>
              <w:rPr>
                <w:b/>
                <w:bCs/>
                <w:sz w:val="20"/>
                <w:szCs w:val="20"/>
              </w:rPr>
            </w:pPr>
            <w:r w:rsidRPr="00BB139D">
              <w:rPr>
                <w:b/>
                <w:bCs/>
                <w:sz w:val="20"/>
                <w:szCs w:val="20"/>
              </w:rPr>
              <w:lastRenderedPageBreak/>
              <w:t xml:space="preserve">Reading: </w:t>
            </w:r>
          </w:p>
          <w:p w14:paraId="79AEADAC" w14:textId="77777777" w:rsidR="00DA7F0D" w:rsidRPr="00BB139D" w:rsidRDefault="00DA7F0D" w:rsidP="00DA7F0D">
            <w:pPr>
              <w:spacing w:after="0" w:line="240" w:lineRule="auto"/>
              <w:rPr>
                <w:b/>
                <w:bCs/>
                <w:sz w:val="20"/>
                <w:szCs w:val="20"/>
              </w:rPr>
            </w:pPr>
            <w:r w:rsidRPr="00BB139D">
              <w:rPr>
                <w:b/>
                <w:bCs/>
                <w:sz w:val="20"/>
                <w:szCs w:val="20"/>
              </w:rPr>
              <w:t>Subject Field</w:t>
            </w:r>
          </w:p>
          <w:p w14:paraId="3D49987E" w14:textId="77777777" w:rsidR="00DA7F0D" w:rsidRPr="00BB139D" w:rsidRDefault="00DA7F0D" w:rsidP="00DA7F0D">
            <w:pPr>
              <w:spacing w:after="0" w:line="240" w:lineRule="auto"/>
              <w:rPr>
                <w:sz w:val="20"/>
                <w:szCs w:val="20"/>
              </w:rPr>
            </w:pPr>
          </w:p>
        </w:tc>
        <w:tc>
          <w:tcPr>
            <w:tcW w:w="6599" w:type="dxa"/>
            <w:gridSpan w:val="3"/>
            <w:shd w:val="clear" w:color="auto" w:fill="auto"/>
          </w:tcPr>
          <w:p w14:paraId="4B6C0119" w14:textId="77777777" w:rsidR="00DA7F0D" w:rsidRPr="00A40A11" w:rsidRDefault="00DA7F0D" w:rsidP="00DA7F0D">
            <w:pPr>
              <w:spacing w:after="0" w:line="240" w:lineRule="auto"/>
              <w:jc w:val="both"/>
              <w:rPr>
                <w:bCs/>
                <w:sz w:val="20"/>
                <w:szCs w:val="20"/>
              </w:rPr>
            </w:pPr>
            <w:r w:rsidRPr="00A40A11">
              <w:rPr>
                <w:bCs/>
                <w:sz w:val="20"/>
                <w:szCs w:val="20"/>
              </w:rPr>
              <w:t xml:space="preserve">This is a selection of articles and/or recent books in this research focus area. </w:t>
            </w:r>
            <w:r w:rsidRPr="00A40A11">
              <w:rPr>
                <w:bCs/>
                <w:sz w:val="20"/>
                <w:szCs w:val="20"/>
                <w:cs/>
              </w:rPr>
              <w:t>‎</w:t>
            </w:r>
            <w:r w:rsidRPr="00A40A11">
              <w:rPr>
                <w:bCs/>
                <w:sz w:val="20"/>
                <w:szCs w:val="20"/>
              </w:rPr>
              <w:t>Further reading over and above these is essential:</w:t>
            </w:r>
          </w:p>
          <w:p w14:paraId="0973086F" w14:textId="77777777" w:rsidR="00DA7F0D" w:rsidRPr="00A40A11" w:rsidRDefault="00DA7F0D" w:rsidP="00DA7F0D">
            <w:pPr>
              <w:spacing w:after="0" w:line="240" w:lineRule="auto"/>
              <w:jc w:val="both"/>
              <w:rPr>
                <w:bCs/>
                <w:sz w:val="20"/>
                <w:szCs w:val="20"/>
              </w:rPr>
            </w:pPr>
            <w:r w:rsidRPr="00A40A11">
              <w:rPr>
                <w:bCs/>
                <w:sz w:val="20"/>
                <w:szCs w:val="20"/>
              </w:rPr>
              <w:t xml:space="preserve">This is a selection of articles and/or recent books in this research focus area. </w:t>
            </w:r>
            <w:r w:rsidRPr="00A40A11">
              <w:rPr>
                <w:bCs/>
                <w:sz w:val="20"/>
                <w:szCs w:val="20"/>
                <w:cs/>
              </w:rPr>
              <w:t>‎</w:t>
            </w:r>
            <w:r w:rsidRPr="00A40A11">
              <w:rPr>
                <w:bCs/>
                <w:sz w:val="20"/>
                <w:szCs w:val="20"/>
              </w:rPr>
              <w:t>Further reading over and above these is essential:</w:t>
            </w:r>
          </w:p>
          <w:p w14:paraId="1D173077" w14:textId="77777777" w:rsidR="00DA7F0D" w:rsidRDefault="00DA7F0D" w:rsidP="00DA7F0D">
            <w:pPr>
              <w:spacing w:after="0" w:line="240" w:lineRule="auto"/>
              <w:jc w:val="both"/>
              <w:rPr>
                <w:b/>
                <w:bCs/>
                <w:sz w:val="20"/>
                <w:szCs w:val="20"/>
              </w:rPr>
            </w:pPr>
          </w:p>
          <w:p w14:paraId="73C75453" w14:textId="023861AC" w:rsidR="00DA7F0D" w:rsidRPr="009A4C74" w:rsidRDefault="00DA7F0D" w:rsidP="00DA7F0D">
            <w:pPr>
              <w:pStyle w:val="ListParagraph"/>
              <w:numPr>
                <w:ilvl w:val="0"/>
                <w:numId w:val="34"/>
              </w:numPr>
              <w:spacing w:after="0" w:line="240" w:lineRule="auto"/>
              <w:jc w:val="both"/>
              <w:rPr>
                <w:bCs/>
                <w:sz w:val="20"/>
                <w:szCs w:val="20"/>
              </w:rPr>
            </w:pPr>
            <w:r w:rsidRPr="009A4C74">
              <w:rPr>
                <w:bCs/>
                <w:sz w:val="20"/>
                <w:szCs w:val="20"/>
              </w:rPr>
              <w:t xml:space="preserve">Chinyavada, J. &amp; Sewdass, N. (2023). Exploring competitive intelligence practices to enhance growth of the agro processors in Limpopo Province. Journal of Intelligence Studies in Business, 13(1):  52–75. DOI: </w:t>
            </w:r>
            <w:hyperlink r:id="rId14" w:history="1">
              <w:r w:rsidRPr="005B5E13">
                <w:rPr>
                  <w:rStyle w:val="Hyperlink"/>
                  <w:bCs/>
                  <w:sz w:val="20"/>
                  <w:szCs w:val="20"/>
                </w:rPr>
                <w:t>https://doi.org/10.37380/jisib.v13iSpecial%20Issue%201</w:t>
              </w:r>
            </w:hyperlink>
            <w:r>
              <w:rPr>
                <w:bCs/>
                <w:sz w:val="20"/>
                <w:szCs w:val="20"/>
              </w:rPr>
              <w:t xml:space="preserve"> </w:t>
            </w:r>
          </w:p>
          <w:p w14:paraId="3A90CFB0" w14:textId="6F4D5BE6" w:rsidR="00DA7F0D" w:rsidRDefault="00DA7F0D" w:rsidP="00DA7F0D">
            <w:pPr>
              <w:pStyle w:val="ListParagraph"/>
              <w:numPr>
                <w:ilvl w:val="0"/>
                <w:numId w:val="34"/>
              </w:numPr>
              <w:spacing w:after="0" w:line="240" w:lineRule="auto"/>
              <w:jc w:val="both"/>
              <w:rPr>
                <w:bCs/>
                <w:sz w:val="20"/>
                <w:szCs w:val="20"/>
              </w:rPr>
            </w:pPr>
            <w:r w:rsidRPr="00DA2F23">
              <w:rPr>
                <w:bCs/>
                <w:sz w:val="20"/>
                <w:szCs w:val="20"/>
              </w:rPr>
              <w:t xml:space="preserve">Shita, T.Y. &amp; Sewdass, N. (2023). The Effect of Market Intelligence on Marketing Mix Decision Making: a Case Study of the Ethiopian Brewery Industry. Journal of Intelligence Studies in Business, 13 (1): 33–51. DOI: </w:t>
            </w:r>
            <w:hyperlink r:id="rId15" w:history="1">
              <w:r w:rsidRPr="00371D3A">
                <w:rPr>
                  <w:rStyle w:val="Hyperlink"/>
                  <w:bCs/>
                  <w:sz w:val="20"/>
                  <w:szCs w:val="20"/>
                </w:rPr>
                <w:t>https://doi.org/10.37380/jisib.v13iSpecial%20Issue%201</w:t>
              </w:r>
            </w:hyperlink>
          </w:p>
          <w:p w14:paraId="7571D8F4" w14:textId="67506DD4" w:rsidR="00DA7F0D" w:rsidRPr="009331BD" w:rsidRDefault="00DA7F0D" w:rsidP="00DA7F0D">
            <w:pPr>
              <w:pStyle w:val="ListParagraph"/>
              <w:numPr>
                <w:ilvl w:val="0"/>
                <w:numId w:val="34"/>
              </w:numPr>
              <w:spacing w:after="0" w:line="240" w:lineRule="auto"/>
              <w:jc w:val="both"/>
              <w:rPr>
                <w:bCs/>
                <w:sz w:val="20"/>
                <w:szCs w:val="20"/>
              </w:rPr>
            </w:pPr>
            <w:r w:rsidRPr="007F1525">
              <w:rPr>
                <w:bCs/>
                <w:sz w:val="20"/>
                <w:szCs w:val="20"/>
              </w:rPr>
              <w:t xml:space="preserve">Mashego, K. &amp; Sewdass, N. (2023). Ameliorating effect of competitive intelligence </w:t>
            </w:r>
            <w:r w:rsidRPr="009331BD">
              <w:rPr>
                <w:bCs/>
                <w:sz w:val="20"/>
                <w:szCs w:val="20"/>
              </w:rPr>
              <w:t xml:space="preserve">on SME innovativeness in emerging economies. Journal of Intelligence Studies in Business, 13(1): 67-89.  </w:t>
            </w:r>
            <w:hyperlink r:id="rId16" w:history="1">
              <w:r w:rsidRPr="009331BD">
                <w:rPr>
                  <w:rStyle w:val="Hyperlink"/>
                  <w:bCs/>
                  <w:sz w:val="20"/>
                  <w:szCs w:val="20"/>
                </w:rPr>
                <w:t>https://doi.org/10.37380/jisib.v13iSpecial%20Issue%201.1136</w:t>
              </w:r>
            </w:hyperlink>
            <w:r>
              <w:rPr>
                <w:bCs/>
                <w:sz w:val="20"/>
                <w:szCs w:val="20"/>
              </w:rPr>
              <w:t xml:space="preserve"> </w:t>
            </w:r>
          </w:p>
          <w:p w14:paraId="1DAB0A2B" w14:textId="3B2CA9D9" w:rsidR="00DA7F0D" w:rsidRDefault="00DA7F0D" w:rsidP="00DA7F0D">
            <w:pPr>
              <w:pStyle w:val="ListParagraph"/>
              <w:numPr>
                <w:ilvl w:val="0"/>
                <w:numId w:val="34"/>
              </w:numPr>
              <w:spacing w:after="0" w:line="240" w:lineRule="auto"/>
              <w:jc w:val="both"/>
              <w:rPr>
                <w:bCs/>
                <w:sz w:val="20"/>
                <w:szCs w:val="20"/>
              </w:rPr>
            </w:pPr>
            <w:r w:rsidRPr="00A40A11">
              <w:rPr>
                <w:bCs/>
                <w:sz w:val="20"/>
                <w:szCs w:val="20"/>
              </w:rPr>
              <w:t xml:space="preserve">Sewdass N., Calof J. (2020) Contemporary Practices of Intelligence Support for Competitiveness. </w:t>
            </w:r>
            <w:r w:rsidRPr="007713EE">
              <w:rPr>
                <w:bCs/>
                <w:i/>
                <w:sz w:val="20"/>
                <w:szCs w:val="20"/>
              </w:rPr>
              <w:t>Foresight and STI Governance</w:t>
            </w:r>
            <w:r w:rsidRPr="00A40A11">
              <w:rPr>
                <w:bCs/>
                <w:sz w:val="20"/>
                <w:szCs w:val="20"/>
              </w:rPr>
              <w:t>, vol. 14, no 3, pp. 30–39. DOI: 10.17323/2500-2597.2020.3.30.39</w:t>
            </w:r>
            <w:r>
              <w:rPr>
                <w:bCs/>
                <w:sz w:val="20"/>
                <w:szCs w:val="20"/>
              </w:rPr>
              <w:t xml:space="preserve"> </w:t>
            </w:r>
          </w:p>
          <w:p w14:paraId="45B1CB4B" w14:textId="648BD729" w:rsidR="00DA7F0D" w:rsidRPr="009331BD" w:rsidRDefault="00DA7F0D" w:rsidP="00DA7F0D">
            <w:pPr>
              <w:pStyle w:val="ListParagraph"/>
              <w:numPr>
                <w:ilvl w:val="0"/>
                <w:numId w:val="34"/>
              </w:numPr>
              <w:spacing w:after="0" w:line="240" w:lineRule="auto"/>
              <w:jc w:val="both"/>
              <w:rPr>
                <w:bCs/>
                <w:sz w:val="20"/>
                <w:szCs w:val="20"/>
                <w:lang w:val="fr-FR"/>
              </w:rPr>
            </w:pPr>
            <w:r w:rsidRPr="00B10C8F">
              <w:rPr>
                <w:bCs/>
                <w:sz w:val="20"/>
                <w:szCs w:val="20"/>
              </w:rPr>
              <w:t xml:space="preserve">Calof, J. &amp; Sewdass, N. (2020) On the relationship between competitive intelligence and innovation. </w:t>
            </w:r>
            <w:r w:rsidRPr="00B10C8F">
              <w:rPr>
                <w:bCs/>
                <w:i/>
                <w:sz w:val="20"/>
                <w:szCs w:val="20"/>
              </w:rPr>
              <w:t>Journal of Intelligence Studies in Business</w:t>
            </w:r>
            <w:r w:rsidRPr="00B10C8F">
              <w:rPr>
                <w:bCs/>
                <w:sz w:val="20"/>
                <w:szCs w:val="20"/>
              </w:rPr>
              <w:t xml:space="preserve">. </w:t>
            </w:r>
            <w:r w:rsidRPr="00F93ABF">
              <w:rPr>
                <w:bCs/>
                <w:sz w:val="20"/>
                <w:szCs w:val="20"/>
              </w:rPr>
              <w:t xml:space="preserve">10 (2) 32-43.         </w:t>
            </w:r>
            <w:r w:rsidRPr="009331BD">
              <w:rPr>
                <w:bCs/>
                <w:sz w:val="20"/>
                <w:szCs w:val="20"/>
                <w:lang w:val="fr-FR"/>
              </w:rPr>
              <w:t xml:space="preserve">Article URL: </w:t>
            </w:r>
            <w:hyperlink r:id="rId17" w:history="1">
              <w:r w:rsidRPr="009331BD">
                <w:rPr>
                  <w:rStyle w:val="Hyperlink"/>
                  <w:bCs/>
                  <w:sz w:val="20"/>
                  <w:szCs w:val="20"/>
                  <w:lang w:val="fr-FR"/>
                </w:rPr>
                <w:t>https://ojs.hh.se/index.php/JISIB/article/view/569</w:t>
              </w:r>
            </w:hyperlink>
            <w:r>
              <w:rPr>
                <w:bCs/>
                <w:sz w:val="20"/>
                <w:szCs w:val="20"/>
                <w:lang w:val="fr-FR"/>
              </w:rPr>
              <w:t>.</w:t>
            </w:r>
          </w:p>
          <w:p w14:paraId="50D0D483" w14:textId="08B78931" w:rsidR="00DA7F0D" w:rsidRPr="007713EE" w:rsidRDefault="00DA7F0D" w:rsidP="00DA7F0D">
            <w:pPr>
              <w:pStyle w:val="ListParagraph"/>
              <w:numPr>
                <w:ilvl w:val="0"/>
                <w:numId w:val="34"/>
              </w:numPr>
              <w:spacing w:after="0" w:line="240" w:lineRule="auto"/>
              <w:jc w:val="both"/>
              <w:rPr>
                <w:bCs/>
                <w:sz w:val="20"/>
                <w:szCs w:val="20"/>
              </w:rPr>
            </w:pPr>
            <w:r w:rsidRPr="007713EE">
              <w:rPr>
                <w:bCs/>
                <w:sz w:val="20"/>
                <w:szCs w:val="20"/>
              </w:rPr>
              <w:t xml:space="preserve">Kuhn, M.-L., Viviers, W., Sewdass, N., Calof, J. (2020) The Business Anticipatory Ecosystem outside the “First World”: Competitive Intelligence in South Africa. </w:t>
            </w:r>
            <w:r w:rsidRPr="007713EE">
              <w:rPr>
                <w:bCs/>
                <w:i/>
                <w:sz w:val="20"/>
                <w:szCs w:val="20"/>
              </w:rPr>
              <w:t>Foresight and STI Governance</w:t>
            </w:r>
            <w:r w:rsidRPr="007713EE">
              <w:rPr>
                <w:bCs/>
                <w:sz w:val="20"/>
                <w:szCs w:val="20"/>
              </w:rPr>
              <w:t>, vol. 14, no 3, pp. 72–87. DOI: 10.17323/2500-2597.2020.3.72.87</w:t>
            </w:r>
            <w:r>
              <w:rPr>
                <w:bCs/>
                <w:sz w:val="20"/>
                <w:szCs w:val="20"/>
              </w:rPr>
              <w:t xml:space="preserve"> </w:t>
            </w:r>
          </w:p>
          <w:p w14:paraId="76757E60" w14:textId="77777777" w:rsidR="00DA7F0D" w:rsidRPr="00702AB0" w:rsidRDefault="00DA7F0D" w:rsidP="00DA7F0D">
            <w:pPr>
              <w:numPr>
                <w:ilvl w:val="0"/>
                <w:numId w:val="34"/>
              </w:numPr>
              <w:spacing w:after="0" w:line="240" w:lineRule="auto"/>
              <w:jc w:val="both"/>
              <w:rPr>
                <w:bCs/>
                <w:sz w:val="20"/>
                <w:szCs w:val="20"/>
              </w:rPr>
            </w:pPr>
            <w:r w:rsidRPr="00702AB0">
              <w:rPr>
                <w:bCs/>
                <w:sz w:val="20"/>
                <w:szCs w:val="20"/>
                <w:lang w:val="fr-FR"/>
              </w:rPr>
              <w:t xml:space="preserve">Sewdass, N. &amp; Du Toit, A.S.A. 2014. </w:t>
            </w:r>
            <w:r w:rsidRPr="00702AB0">
              <w:rPr>
                <w:bCs/>
                <w:sz w:val="20"/>
                <w:szCs w:val="20"/>
              </w:rPr>
              <w:t>Current state of competitive intelligence in South Africa. International Journal of Information Management, 34(2): 185-190.</w:t>
            </w:r>
          </w:p>
          <w:p w14:paraId="147E3272" w14:textId="77777777" w:rsidR="00DA7F0D" w:rsidRPr="00702AB0" w:rsidRDefault="00DA7F0D" w:rsidP="00DA7F0D">
            <w:pPr>
              <w:numPr>
                <w:ilvl w:val="0"/>
                <w:numId w:val="34"/>
              </w:numPr>
              <w:spacing w:after="0" w:line="240" w:lineRule="auto"/>
              <w:jc w:val="both"/>
              <w:rPr>
                <w:bCs/>
                <w:sz w:val="20"/>
                <w:szCs w:val="20"/>
              </w:rPr>
            </w:pPr>
            <w:r w:rsidRPr="00702AB0">
              <w:rPr>
                <w:bCs/>
                <w:sz w:val="20"/>
                <w:szCs w:val="20"/>
              </w:rPr>
              <w:t>Calof, Jonathan, Gregory Richards, and Jack Smith. 2015. “Foresight, Competitive Intelligence and Business Analytics —Tools for Making Industrial Programmes More Efficient.” Foresight-Russia 9 (1): 68–81.</w:t>
            </w:r>
          </w:p>
          <w:p w14:paraId="486205C6" w14:textId="77777777" w:rsidR="00DA7F0D" w:rsidRPr="00702AB0" w:rsidRDefault="00DA7F0D" w:rsidP="00DA7F0D">
            <w:pPr>
              <w:numPr>
                <w:ilvl w:val="0"/>
                <w:numId w:val="34"/>
              </w:numPr>
              <w:spacing w:after="0" w:line="240" w:lineRule="auto"/>
              <w:jc w:val="both"/>
              <w:rPr>
                <w:bCs/>
                <w:sz w:val="20"/>
                <w:szCs w:val="20"/>
              </w:rPr>
            </w:pPr>
            <w:r w:rsidRPr="00702AB0">
              <w:rPr>
                <w:bCs/>
                <w:sz w:val="20"/>
                <w:szCs w:val="20"/>
              </w:rPr>
              <w:t>Bulger, Nanette. 2016. “The Evolving Role of Intelligence: Migrating from Traditional Competitive Intelligence to Integrated Intelligence.” The International Journal of Intelligence, Security, and Public Affairs 18 (1): 57–84.</w:t>
            </w:r>
          </w:p>
          <w:p w14:paraId="738445E8" w14:textId="77777777" w:rsidR="00DA7F0D" w:rsidRPr="00702AB0" w:rsidRDefault="00DA7F0D" w:rsidP="00DA7F0D">
            <w:pPr>
              <w:numPr>
                <w:ilvl w:val="0"/>
                <w:numId w:val="34"/>
              </w:numPr>
              <w:spacing w:after="0" w:line="240" w:lineRule="auto"/>
              <w:jc w:val="both"/>
              <w:rPr>
                <w:bCs/>
                <w:sz w:val="20"/>
                <w:szCs w:val="20"/>
              </w:rPr>
            </w:pPr>
            <w:r w:rsidRPr="00702AB0">
              <w:rPr>
                <w:bCs/>
                <w:sz w:val="20"/>
                <w:szCs w:val="20"/>
              </w:rPr>
              <w:t>Arrigo, Elisa. 2016. “Deriving Competitive Intelligence from Social Media.” International Journal of Online Marketing 6 (2): 49–61.</w:t>
            </w:r>
          </w:p>
          <w:p w14:paraId="347AD256" w14:textId="77777777" w:rsidR="00DA7F0D" w:rsidRPr="0052102E" w:rsidRDefault="00DA7F0D" w:rsidP="00DA7F0D">
            <w:pPr>
              <w:numPr>
                <w:ilvl w:val="0"/>
                <w:numId w:val="34"/>
              </w:numPr>
              <w:spacing w:after="0" w:line="240" w:lineRule="auto"/>
              <w:jc w:val="both"/>
              <w:rPr>
                <w:bCs/>
                <w:sz w:val="20"/>
                <w:szCs w:val="20"/>
              </w:rPr>
            </w:pPr>
            <w:r w:rsidRPr="00702AB0">
              <w:rPr>
                <w:bCs/>
                <w:sz w:val="20"/>
                <w:szCs w:val="20"/>
              </w:rPr>
              <w:t xml:space="preserve">Małecki, Grzegorz. 2017. “The economic intelligence system as a crucial factor in the success of the Responsible Development Plan.” Pulaski Policy Papers. </w:t>
            </w:r>
            <w:r w:rsidRPr="0052102E">
              <w:rPr>
                <w:bCs/>
                <w:sz w:val="20"/>
                <w:szCs w:val="20"/>
              </w:rPr>
              <w:t>[available online].</w:t>
            </w:r>
            <w:hyperlink r:id="rId18" w:history="1">
              <w:r w:rsidRPr="0052102E">
                <w:rPr>
                  <w:rStyle w:val="Hyperlink"/>
                  <w:bCs/>
                  <w:sz w:val="20"/>
                  <w:szCs w:val="20"/>
                </w:rPr>
                <w:t>https://pulaski.pl/en/analysis-the-economic-intelligence-system-as-a-crucial-factor-in-the-success-of-the-responsible-development-plan/</w:t>
              </w:r>
            </w:hyperlink>
          </w:p>
          <w:p w14:paraId="66E40D39" w14:textId="77777777" w:rsidR="00DA7F0D" w:rsidRPr="0052102E" w:rsidRDefault="00DA7F0D" w:rsidP="00DA7F0D">
            <w:pPr>
              <w:spacing w:after="0" w:line="240" w:lineRule="auto"/>
              <w:jc w:val="both"/>
              <w:rPr>
                <w:b/>
                <w:bCs/>
                <w:sz w:val="20"/>
                <w:szCs w:val="20"/>
              </w:rPr>
            </w:pPr>
          </w:p>
          <w:p w14:paraId="55DC37B2" w14:textId="77777777" w:rsidR="00DA7F0D" w:rsidRDefault="00DA7F0D" w:rsidP="00DA7F0D">
            <w:pPr>
              <w:spacing w:after="0" w:line="240" w:lineRule="auto"/>
              <w:jc w:val="both"/>
              <w:rPr>
                <w:b/>
                <w:i/>
                <w:sz w:val="20"/>
                <w:szCs w:val="20"/>
              </w:rPr>
            </w:pPr>
            <w:r w:rsidRPr="00C52FE2">
              <w:rPr>
                <w:b/>
                <w:i/>
                <w:sz w:val="20"/>
                <w:szCs w:val="20"/>
              </w:rPr>
              <w:t>Please note that you are not restricted to these sources alone. It is recommended that you conduct your own literature search.</w:t>
            </w:r>
          </w:p>
          <w:p w14:paraId="7C518865" w14:textId="77777777" w:rsidR="00DA7F0D" w:rsidRPr="00C52FE2" w:rsidRDefault="00DA7F0D" w:rsidP="00DA7F0D">
            <w:pPr>
              <w:spacing w:after="0" w:line="240" w:lineRule="auto"/>
              <w:jc w:val="both"/>
              <w:rPr>
                <w:b/>
                <w:sz w:val="20"/>
                <w:szCs w:val="20"/>
              </w:rPr>
            </w:pPr>
          </w:p>
        </w:tc>
      </w:tr>
      <w:tr w:rsidR="00DA7F0D" w:rsidRPr="00BB139D" w14:paraId="3AB39324" w14:textId="77777777" w:rsidTr="009E536F">
        <w:trPr>
          <w:trHeight w:val="276"/>
        </w:trPr>
        <w:tc>
          <w:tcPr>
            <w:tcW w:w="2689" w:type="dxa"/>
            <w:shd w:val="clear" w:color="auto" w:fill="auto"/>
          </w:tcPr>
          <w:p w14:paraId="63FC863F" w14:textId="77777777" w:rsidR="00DA7F0D" w:rsidRPr="00BB139D" w:rsidRDefault="00DA7F0D" w:rsidP="00DA7F0D">
            <w:pPr>
              <w:spacing w:after="0" w:line="240" w:lineRule="auto"/>
              <w:rPr>
                <w:b/>
                <w:bCs/>
                <w:sz w:val="20"/>
                <w:szCs w:val="20"/>
              </w:rPr>
            </w:pPr>
            <w:r w:rsidRPr="00BB139D">
              <w:rPr>
                <w:b/>
                <w:bCs/>
                <w:sz w:val="20"/>
                <w:szCs w:val="20"/>
              </w:rPr>
              <w:t xml:space="preserve">Reading: </w:t>
            </w:r>
          </w:p>
          <w:p w14:paraId="69B71D83" w14:textId="77777777" w:rsidR="00DA7F0D" w:rsidRPr="00BB139D" w:rsidRDefault="00DA7F0D" w:rsidP="00DA7F0D">
            <w:pPr>
              <w:spacing w:after="0" w:line="240" w:lineRule="auto"/>
              <w:rPr>
                <w:sz w:val="20"/>
                <w:szCs w:val="20"/>
              </w:rPr>
            </w:pPr>
            <w:r w:rsidRPr="00BB139D">
              <w:rPr>
                <w:b/>
                <w:bCs/>
                <w:sz w:val="20"/>
                <w:szCs w:val="20"/>
              </w:rPr>
              <w:t>Research Methodology</w:t>
            </w:r>
          </w:p>
        </w:tc>
        <w:tc>
          <w:tcPr>
            <w:tcW w:w="6599" w:type="dxa"/>
            <w:gridSpan w:val="3"/>
            <w:shd w:val="clear" w:color="auto" w:fill="auto"/>
          </w:tcPr>
          <w:p w14:paraId="30F429BF" w14:textId="77777777" w:rsidR="00DA7F0D" w:rsidRPr="00184987" w:rsidRDefault="00DA7F0D" w:rsidP="00DA7F0D">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21F2413B" w14:textId="77777777" w:rsidR="00DA7F0D" w:rsidRPr="00195F4D" w:rsidRDefault="00DA7F0D" w:rsidP="00DA7F0D">
            <w:pPr>
              <w:pStyle w:val="ListParagraph"/>
              <w:numPr>
                <w:ilvl w:val="0"/>
                <w:numId w:val="18"/>
              </w:numPr>
              <w:autoSpaceDE w:val="0"/>
              <w:autoSpaceDN w:val="0"/>
              <w:spacing w:after="0" w:line="240" w:lineRule="auto"/>
              <w:contextualSpacing w:val="0"/>
              <w:rPr>
                <w:sz w:val="20"/>
                <w:szCs w:val="20"/>
              </w:rPr>
            </w:pPr>
            <w:r w:rsidRPr="00702AB0">
              <w:rPr>
                <w:bCs/>
                <w:sz w:val="20"/>
                <w:szCs w:val="20"/>
                <w:lang w:val="en-GB"/>
              </w:rPr>
              <w:t xml:space="preserve">Bak, N. 2004. </w:t>
            </w:r>
            <w:r w:rsidRPr="00702AB0">
              <w:rPr>
                <w:bCs/>
                <w:i/>
                <w:sz w:val="20"/>
                <w:szCs w:val="20"/>
                <w:lang w:val="en-GB"/>
              </w:rPr>
              <w:t>Completing your thesis: A practical guide</w:t>
            </w:r>
            <w:r w:rsidRPr="00702AB0">
              <w:rPr>
                <w:bCs/>
                <w:sz w:val="20"/>
                <w:szCs w:val="20"/>
                <w:lang w:val="en-GB"/>
              </w:rPr>
              <w:t>. Pretoria: Van Schaik Publishers</w:t>
            </w:r>
          </w:p>
          <w:p w14:paraId="65BD3ACA" w14:textId="77777777" w:rsidR="00DA7F0D" w:rsidRPr="00702AB0" w:rsidRDefault="00DA7F0D" w:rsidP="00DA7F0D">
            <w:pPr>
              <w:pStyle w:val="ListParagraph"/>
              <w:autoSpaceDE w:val="0"/>
              <w:autoSpaceDN w:val="0"/>
              <w:spacing w:after="0" w:line="240" w:lineRule="auto"/>
              <w:contextualSpacing w:val="0"/>
              <w:rPr>
                <w:sz w:val="20"/>
                <w:szCs w:val="20"/>
              </w:rPr>
            </w:pPr>
          </w:p>
          <w:p w14:paraId="278546BA" w14:textId="77777777" w:rsidR="00DA7F0D" w:rsidRPr="00195F4D" w:rsidRDefault="00DA7F0D" w:rsidP="00DA7F0D">
            <w:pPr>
              <w:pStyle w:val="ListParagraph"/>
              <w:numPr>
                <w:ilvl w:val="0"/>
                <w:numId w:val="18"/>
              </w:numPr>
              <w:contextualSpacing w:val="0"/>
              <w:rPr>
                <w:sz w:val="20"/>
                <w:szCs w:val="20"/>
              </w:rPr>
            </w:pPr>
            <w:r w:rsidRPr="00195F4D">
              <w:rPr>
                <w:bCs/>
                <w:sz w:val="20"/>
                <w:szCs w:val="20"/>
                <w:lang w:val="en-GB"/>
              </w:rPr>
              <w:t>Saunders, M., Lewis, P. &amp; Thornhill, A. 201</w:t>
            </w:r>
            <w:r>
              <w:rPr>
                <w:bCs/>
                <w:sz w:val="20"/>
                <w:szCs w:val="20"/>
                <w:lang w:val="en-GB"/>
              </w:rPr>
              <w:t>9</w:t>
            </w:r>
            <w:r w:rsidRPr="00195F4D">
              <w:rPr>
                <w:bCs/>
                <w:sz w:val="20"/>
                <w:szCs w:val="20"/>
                <w:lang w:val="en-GB"/>
              </w:rPr>
              <w:t xml:space="preserve">. </w:t>
            </w:r>
            <w:r w:rsidRPr="00195F4D">
              <w:rPr>
                <w:bCs/>
                <w:i/>
                <w:sz w:val="20"/>
                <w:szCs w:val="20"/>
                <w:lang w:val="en-GB"/>
              </w:rPr>
              <w:t>Research methods for business students</w:t>
            </w:r>
            <w:r w:rsidRPr="00195F4D">
              <w:rPr>
                <w:bCs/>
                <w:sz w:val="20"/>
                <w:szCs w:val="20"/>
                <w:lang w:val="en-GB"/>
              </w:rPr>
              <w:t xml:space="preserve">. </w:t>
            </w:r>
            <w:r>
              <w:rPr>
                <w:bCs/>
                <w:sz w:val="20"/>
                <w:szCs w:val="20"/>
                <w:lang w:val="en-GB"/>
              </w:rPr>
              <w:t>7</w:t>
            </w:r>
            <w:r w:rsidRPr="00195F4D">
              <w:rPr>
                <w:bCs/>
                <w:sz w:val="20"/>
                <w:szCs w:val="20"/>
                <w:lang w:val="en-GB"/>
              </w:rPr>
              <w:t>th edition. Upper Saddle River, NJ: Pearson International.</w:t>
            </w:r>
          </w:p>
          <w:p w14:paraId="3EF72443" w14:textId="77777777" w:rsidR="00DA7F0D" w:rsidRPr="00195F4D" w:rsidRDefault="00DA7F0D" w:rsidP="00DA7F0D">
            <w:pPr>
              <w:pStyle w:val="ListParagraph"/>
              <w:numPr>
                <w:ilvl w:val="0"/>
                <w:numId w:val="18"/>
              </w:numPr>
              <w:contextualSpacing w:val="0"/>
              <w:rPr>
                <w:sz w:val="20"/>
                <w:szCs w:val="20"/>
              </w:rPr>
            </w:pPr>
            <w:r w:rsidRPr="00195F4D">
              <w:rPr>
                <w:bCs/>
                <w:sz w:val="20"/>
                <w:szCs w:val="20"/>
                <w:lang w:val="pt-BR"/>
              </w:rPr>
              <w:t>Creswell, J.W. &amp; Plano Clark, V.L. 20</w:t>
            </w:r>
            <w:r>
              <w:rPr>
                <w:bCs/>
                <w:sz w:val="20"/>
                <w:szCs w:val="20"/>
                <w:lang w:val="pt-BR"/>
              </w:rPr>
              <w:t>17</w:t>
            </w:r>
            <w:r w:rsidRPr="00195F4D">
              <w:rPr>
                <w:bCs/>
                <w:sz w:val="20"/>
                <w:szCs w:val="20"/>
                <w:lang w:val="pt-BR"/>
              </w:rPr>
              <w:t xml:space="preserve">. </w:t>
            </w:r>
            <w:r w:rsidRPr="00195F4D">
              <w:rPr>
                <w:bCs/>
                <w:sz w:val="20"/>
                <w:szCs w:val="20"/>
                <w:lang w:val="en-GB"/>
              </w:rPr>
              <w:t>Designing and conducting mixed methods research.</w:t>
            </w:r>
            <w:r>
              <w:rPr>
                <w:bCs/>
                <w:sz w:val="20"/>
                <w:szCs w:val="20"/>
                <w:lang w:val="en-GB"/>
              </w:rPr>
              <w:t xml:space="preserve"> 3</w:t>
            </w:r>
            <w:r w:rsidRPr="00B10C8F">
              <w:rPr>
                <w:bCs/>
                <w:sz w:val="20"/>
                <w:szCs w:val="20"/>
                <w:vertAlign w:val="superscript"/>
                <w:lang w:val="en-GB"/>
              </w:rPr>
              <w:t>rd</w:t>
            </w:r>
            <w:r>
              <w:rPr>
                <w:bCs/>
                <w:sz w:val="20"/>
                <w:szCs w:val="20"/>
                <w:lang w:val="en-GB"/>
              </w:rPr>
              <w:t xml:space="preserve"> edition.</w:t>
            </w:r>
            <w:r w:rsidRPr="00195F4D">
              <w:rPr>
                <w:bCs/>
                <w:sz w:val="20"/>
                <w:szCs w:val="20"/>
                <w:lang w:val="en-GB"/>
              </w:rPr>
              <w:t xml:space="preserve"> London: Sage. 265p.</w:t>
            </w:r>
            <w:r w:rsidRPr="00195F4D">
              <w:rPr>
                <w:sz w:val="20"/>
                <w:szCs w:val="20"/>
                <w:lang w:val="en-GB"/>
              </w:rPr>
              <w:t xml:space="preserve"> </w:t>
            </w:r>
          </w:p>
          <w:p w14:paraId="2A36FE40" w14:textId="77777777" w:rsidR="00DA7F0D" w:rsidRPr="00702AB0" w:rsidRDefault="00DA7F0D" w:rsidP="00DA7F0D">
            <w:pPr>
              <w:pStyle w:val="ListParagraph"/>
              <w:numPr>
                <w:ilvl w:val="0"/>
                <w:numId w:val="18"/>
              </w:numPr>
              <w:contextualSpacing w:val="0"/>
              <w:rPr>
                <w:sz w:val="20"/>
                <w:szCs w:val="20"/>
              </w:rPr>
            </w:pPr>
            <w:r w:rsidRPr="00702AB0">
              <w:rPr>
                <w:bCs/>
                <w:sz w:val="20"/>
                <w:szCs w:val="20"/>
              </w:rPr>
              <w:t>Leedy, P.D. &amp; Ormrod, J.E. 201</w:t>
            </w:r>
            <w:r>
              <w:rPr>
                <w:bCs/>
                <w:sz w:val="20"/>
                <w:szCs w:val="20"/>
              </w:rPr>
              <w:t>9</w:t>
            </w:r>
            <w:r w:rsidRPr="00702AB0">
              <w:rPr>
                <w:bCs/>
                <w:sz w:val="20"/>
                <w:szCs w:val="20"/>
              </w:rPr>
              <w:t xml:space="preserve">. Practical research: planning and design. </w:t>
            </w:r>
            <w:r>
              <w:rPr>
                <w:bCs/>
                <w:sz w:val="20"/>
                <w:szCs w:val="20"/>
              </w:rPr>
              <w:t>12</w:t>
            </w:r>
            <w:r w:rsidRPr="00702AB0">
              <w:rPr>
                <w:bCs/>
                <w:sz w:val="20"/>
                <w:szCs w:val="20"/>
              </w:rPr>
              <w:t>th ed. Upper Saddle River, New Jersey: Pearson</w:t>
            </w:r>
            <w:r w:rsidRPr="00702AB0">
              <w:rPr>
                <w:bCs/>
                <w:sz w:val="20"/>
                <w:szCs w:val="20"/>
                <w:lang w:val="en-GB"/>
              </w:rPr>
              <w:t>.</w:t>
            </w:r>
          </w:p>
          <w:p w14:paraId="1AC4A3E9" w14:textId="77777777" w:rsidR="00DA7F0D" w:rsidRPr="00702AB0" w:rsidRDefault="00DA7F0D" w:rsidP="00DA7F0D">
            <w:pPr>
              <w:pStyle w:val="ListParagraph"/>
              <w:numPr>
                <w:ilvl w:val="0"/>
                <w:numId w:val="18"/>
              </w:numPr>
              <w:contextualSpacing w:val="0"/>
              <w:rPr>
                <w:sz w:val="20"/>
                <w:szCs w:val="20"/>
              </w:rPr>
            </w:pPr>
            <w:r w:rsidRPr="00702AB0">
              <w:rPr>
                <w:sz w:val="20"/>
                <w:szCs w:val="20"/>
              </w:rPr>
              <w:t>Yin, R.K. 201</w:t>
            </w:r>
            <w:r>
              <w:rPr>
                <w:sz w:val="20"/>
                <w:szCs w:val="20"/>
              </w:rPr>
              <w:t>4</w:t>
            </w:r>
            <w:r w:rsidRPr="00702AB0">
              <w:rPr>
                <w:sz w:val="20"/>
                <w:szCs w:val="20"/>
              </w:rPr>
              <w:t xml:space="preserve">. Case study research: Design and methods. </w:t>
            </w:r>
            <w:r>
              <w:rPr>
                <w:sz w:val="20"/>
                <w:szCs w:val="20"/>
              </w:rPr>
              <w:t>5</w:t>
            </w:r>
            <w:r w:rsidRPr="00702AB0">
              <w:rPr>
                <w:sz w:val="20"/>
                <w:szCs w:val="20"/>
                <w:vertAlign w:val="superscript"/>
              </w:rPr>
              <w:t>th</w:t>
            </w:r>
            <w:r w:rsidRPr="00702AB0">
              <w:rPr>
                <w:sz w:val="20"/>
                <w:szCs w:val="20"/>
              </w:rPr>
              <w:t xml:space="preserve"> ed. Thousand Oaks, CA: Sage Publications</w:t>
            </w:r>
          </w:p>
          <w:p w14:paraId="04D0E023" w14:textId="77777777" w:rsidR="00DA7F0D" w:rsidRPr="00702AB0" w:rsidRDefault="00DA7F0D" w:rsidP="00DA7F0D">
            <w:pPr>
              <w:autoSpaceDE w:val="0"/>
              <w:autoSpaceDN w:val="0"/>
              <w:spacing w:after="0" w:line="240" w:lineRule="auto"/>
              <w:rPr>
                <w:b/>
                <w:i/>
                <w:sz w:val="20"/>
                <w:szCs w:val="20"/>
              </w:rPr>
            </w:pPr>
            <w:r w:rsidRPr="00702AB0">
              <w:rPr>
                <w:b/>
                <w:i/>
                <w:sz w:val="20"/>
                <w:szCs w:val="20"/>
              </w:rPr>
              <w:t>Please consult the latest editions of the above books</w:t>
            </w:r>
            <w:r>
              <w:rPr>
                <w:b/>
                <w:i/>
                <w:sz w:val="20"/>
                <w:szCs w:val="20"/>
              </w:rPr>
              <w:t xml:space="preserve"> and other relevant methodology books</w:t>
            </w:r>
            <w:r w:rsidRPr="00702AB0">
              <w:rPr>
                <w:b/>
                <w:i/>
                <w:sz w:val="20"/>
                <w:szCs w:val="20"/>
              </w:rPr>
              <w:t>.</w:t>
            </w:r>
          </w:p>
          <w:p w14:paraId="5C3364EC" w14:textId="77777777" w:rsidR="00DA7F0D" w:rsidRPr="00702AB0" w:rsidRDefault="00DA7F0D" w:rsidP="00DA7F0D">
            <w:pPr>
              <w:autoSpaceDE w:val="0"/>
              <w:autoSpaceDN w:val="0"/>
              <w:spacing w:after="0" w:line="240" w:lineRule="auto"/>
              <w:ind w:left="360"/>
              <w:rPr>
                <w:sz w:val="20"/>
                <w:szCs w:val="20"/>
              </w:rPr>
            </w:pPr>
          </w:p>
        </w:tc>
      </w:tr>
      <w:tr w:rsidR="00DA7F0D" w:rsidRPr="00BB139D" w14:paraId="51596597" w14:textId="77777777" w:rsidTr="009E536F">
        <w:trPr>
          <w:trHeight w:val="276"/>
        </w:trPr>
        <w:tc>
          <w:tcPr>
            <w:tcW w:w="2689" w:type="dxa"/>
            <w:shd w:val="clear" w:color="auto" w:fill="auto"/>
          </w:tcPr>
          <w:p w14:paraId="1620AB04" w14:textId="77777777" w:rsidR="00DA7F0D" w:rsidRPr="00BB139D" w:rsidRDefault="00DA7F0D" w:rsidP="00DA7F0D">
            <w:pPr>
              <w:spacing w:after="0" w:line="240" w:lineRule="auto"/>
              <w:rPr>
                <w:b/>
                <w:bCs/>
                <w:sz w:val="20"/>
                <w:szCs w:val="20"/>
              </w:rPr>
            </w:pPr>
            <w:r w:rsidRPr="00BB139D">
              <w:rPr>
                <w:b/>
                <w:bCs/>
                <w:sz w:val="20"/>
                <w:szCs w:val="20"/>
              </w:rPr>
              <w:lastRenderedPageBreak/>
              <w:t xml:space="preserve">Resources: </w:t>
            </w:r>
            <w:r>
              <w:rPr>
                <w:b/>
                <w:bCs/>
                <w:sz w:val="20"/>
                <w:szCs w:val="20"/>
              </w:rPr>
              <w:t>S</w:t>
            </w:r>
            <w:r w:rsidRPr="00BB139D">
              <w:rPr>
                <w:b/>
                <w:bCs/>
                <w:sz w:val="20"/>
                <w:szCs w:val="20"/>
              </w:rPr>
              <w:t>cholar community</w:t>
            </w:r>
          </w:p>
        </w:tc>
        <w:tc>
          <w:tcPr>
            <w:tcW w:w="6599" w:type="dxa"/>
            <w:gridSpan w:val="3"/>
            <w:shd w:val="clear" w:color="auto" w:fill="auto"/>
          </w:tcPr>
          <w:p w14:paraId="686B506C" w14:textId="77777777" w:rsidR="00DA7F0D" w:rsidRPr="007F1525" w:rsidRDefault="00DA7F0D" w:rsidP="00DA7F0D">
            <w:pPr>
              <w:pStyle w:val="ListParagraph"/>
              <w:numPr>
                <w:ilvl w:val="0"/>
                <w:numId w:val="27"/>
              </w:numPr>
              <w:spacing w:after="0" w:line="240" w:lineRule="auto"/>
              <w:jc w:val="both"/>
              <w:rPr>
                <w:sz w:val="20"/>
                <w:szCs w:val="20"/>
              </w:rPr>
            </w:pPr>
            <w:r w:rsidRPr="00A82A69">
              <w:rPr>
                <w:sz w:val="20"/>
                <w:szCs w:val="20"/>
                <w:lang w:val="en-GB"/>
              </w:rPr>
              <w:t>Strategic Consortium of Intelligence Professionals (SCIP)</w:t>
            </w:r>
          </w:p>
          <w:p w14:paraId="7BFE71F3" w14:textId="2D77CFCA" w:rsidR="00DA7F0D" w:rsidRPr="00600BAC" w:rsidRDefault="00DA7F0D" w:rsidP="00DA7F0D">
            <w:pPr>
              <w:pStyle w:val="ListParagraph"/>
              <w:spacing w:after="0" w:line="240" w:lineRule="auto"/>
              <w:jc w:val="both"/>
              <w:rPr>
                <w:sz w:val="20"/>
                <w:szCs w:val="20"/>
              </w:rPr>
            </w:pPr>
            <w:r w:rsidRPr="00702AB0">
              <w:rPr>
                <w:sz w:val="20"/>
                <w:szCs w:val="20"/>
                <w:lang w:val="en-GB"/>
              </w:rPr>
              <w:t xml:space="preserve"> </w:t>
            </w:r>
            <w:hyperlink r:id="rId19" w:history="1">
              <w:r w:rsidRPr="00702AB0">
                <w:rPr>
                  <w:rStyle w:val="Hyperlink"/>
                  <w:sz w:val="20"/>
                  <w:szCs w:val="20"/>
                </w:rPr>
                <w:t>www.scip.org</w:t>
              </w:r>
            </w:hyperlink>
          </w:p>
          <w:p w14:paraId="6B665F0D" w14:textId="77777777" w:rsidR="00DA7F0D" w:rsidRPr="00600BAC" w:rsidRDefault="00DA7F0D" w:rsidP="00DA7F0D">
            <w:pPr>
              <w:spacing w:after="0" w:line="240" w:lineRule="auto"/>
              <w:jc w:val="both"/>
              <w:rPr>
                <w:sz w:val="20"/>
                <w:szCs w:val="20"/>
              </w:rPr>
            </w:pPr>
          </w:p>
        </w:tc>
      </w:tr>
      <w:tr w:rsidR="00DA7F0D" w:rsidRPr="00BB139D" w14:paraId="7601D0A9" w14:textId="77777777" w:rsidTr="002F7E99">
        <w:trPr>
          <w:trHeight w:val="276"/>
        </w:trPr>
        <w:tc>
          <w:tcPr>
            <w:tcW w:w="9288" w:type="dxa"/>
            <w:gridSpan w:val="4"/>
            <w:shd w:val="clear" w:color="auto" w:fill="D9D9D9" w:themeFill="background1" w:themeFillShade="D9"/>
          </w:tcPr>
          <w:p w14:paraId="6D9B3309" w14:textId="77777777" w:rsidR="00DA7F0D" w:rsidRPr="00BB139D" w:rsidRDefault="00DA7F0D" w:rsidP="00DA7F0D">
            <w:pPr>
              <w:spacing w:after="0" w:line="240" w:lineRule="auto"/>
              <w:rPr>
                <w:sz w:val="20"/>
                <w:szCs w:val="20"/>
              </w:rPr>
            </w:pPr>
            <w:r w:rsidRPr="00BB139D">
              <w:rPr>
                <w:b/>
                <w:sz w:val="20"/>
                <w:szCs w:val="20"/>
              </w:rPr>
              <w:t>Potential M&amp;D research focus areas or research projects</w:t>
            </w:r>
          </w:p>
        </w:tc>
      </w:tr>
      <w:tr w:rsidR="00DA7F0D" w:rsidRPr="00BB139D" w14:paraId="136CEB0E" w14:textId="77777777" w:rsidTr="007F1525">
        <w:trPr>
          <w:trHeight w:val="276"/>
        </w:trPr>
        <w:tc>
          <w:tcPr>
            <w:tcW w:w="2689" w:type="dxa"/>
            <w:shd w:val="clear" w:color="auto" w:fill="D9D9D9" w:themeFill="background1" w:themeFillShade="D9"/>
          </w:tcPr>
          <w:p w14:paraId="3EAECEEB" w14:textId="77777777" w:rsidR="00DA7F0D" w:rsidRPr="00BB139D" w:rsidRDefault="00DA7F0D" w:rsidP="00DA7F0D">
            <w:pPr>
              <w:spacing w:after="0" w:line="240" w:lineRule="auto"/>
              <w:rPr>
                <w:b/>
                <w:sz w:val="20"/>
                <w:szCs w:val="20"/>
              </w:rPr>
            </w:pPr>
            <w:r w:rsidRPr="00BB139D">
              <w:rPr>
                <w:b/>
                <w:sz w:val="20"/>
                <w:szCs w:val="20"/>
              </w:rPr>
              <w:t>Unit of Analysis</w:t>
            </w:r>
          </w:p>
        </w:tc>
        <w:tc>
          <w:tcPr>
            <w:tcW w:w="6599" w:type="dxa"/>
            <w:gridSpan w:val="3"/>
            <w:shd w:val="clear" w:color="auto" w:fill="D9D9D9" w:themeFill="background1" w:themeFillShade="D9"/>
          </w:tcPr>
          <w:p w14:paraId="5344DA06" w14:textId="77777777" w:rsidR="00DA7F0D" w:rsidRPr="00BB139D" w:rsidRDefault="00DA7F0D" w:rsidP="00DA7F0D">
            <w:pPr>
              <w:spacing w:after="0" w:line="240" w:lineRule="auto"/>
              <w:rPr>
                <w:b/>
                <w:sz w:val="20"/>
                <w:szCs w:val="20"/>
              </w:rPr>
            </w:pPr>
            <w:r w:rsidRPr="00BB139D">
              <w:rPr>
                <w:b/>
                <w:sz w:val="20"/>
                <w:szCs w:val="20"/>
              </w:rPr>
              <w:t>Research Focus</w:t>
            </w:r>
          </w:p>
        </w:tc>
      </w:tr>
      <w:tr w:rsidR="00DA7F0D" w:rsidRPr="00BB139D" w14:paraId="2457AA77" w14:textId="77777777" w:rsidTr="007F1525">
        <w:trPr>
          <w:trHeight w:val="276"/>
        </w:trPr>
        <w:tc>
          <w:tcPr>
            <w:tcW w:w="2689" w:type="dxa"/>
            <w:shd w:val="clear" w:color="auto" w:fill="auto"/>
          </w:tcPr>
          <w:p w14:paraId="54822784" w14:textId="77777777" w:rsidR="00DA7F0D" w:rsidRPr="001A1660" w:rsidRDefault="00DA7F0D" w:rsidP="00DA7F0D">
            <w:pPr>
              <w:spacing w:after="0" w:line="240" w:lineRule="auto"/>
              <w:rPr>
                <w:b/>
                <w:sz w:val="20"/>
                <w:szCs w:val="20"/>
              </w:rPr>
            </w:pPr>
            <w:r w:rsidRPr="00702AB0">
              <w:rPr>
                <w:b/>
                <w:sz w:val="20"/>
                <w:szCs w:val="20"/>
              </w:rPr>
              <w:t>Competitive Intelligence in general</w:t>
            </w:r>
          </w:p>
        </w:tc>
        <w:tc>
          <w:tcPr>
            <w:tcW w:w="6599" w:type="dxa"/>
            <w:gridSpan w:val="3"/>
            <w:shd w:val="clear" w:color="auto" w:fill="auto"/>
          </w:tcPr>
          <w:p w14:paraId="2032CBF8" w14:textId="77777777" w:rsidR="00DA7F0D" w:rsidRPr="00702AB0" w:rsidRDefault="00DA7F0D" w:rsidP="00DA7F0D">
            <w:pPr>
              <w:numPr>
                <w:ilvl w:val="0"/>
                <w:numId w:val="36"/>
              </w:numPr>
              <w:spacing w:after="0" w:line="240" w:lineRule="auto"/>
              <w:rPr>
                <w:sz w:val="20"/>
                <w:szCs w:val="20"/>
              </w:rPr>
            </w:pPr>
            <w:r w:rsidRPr="00702AB0">
              <w:rPr>
                <w:sz w:val="20"/>
                <w:szCs w:val="20"/>
              </w:rPr>
              <w:t>Application of CI to improve decision making and strategy</w:t>
            </w:r>
          </w:p>
          <w:p w14:paraId="57C7BAD7" w14:textId="77777777" w:rsidR="00DA7F0D" w:rsidRPr="00BB139D" w:rsidRDefault="00DA7F0D" w:rsidP="00DA7F0D">
            <w:pPr>
              <w:spacing w:after="0" w:line="240" w:lineRule="auto"/>
              <w:ind w:left="360"/>
              <w:rPr>
                <w:sz w:val="20"/>
                <w:szCs w:val="20"/>
              </w:rPr>
            </w:pPr>
          </w:p>
        </w:tc>
      </w:tr>
      <w:tr w:rsidR="00DA7F0D" w:rsidRPr="00BB139D" w14:paraId="1B5DC0F8" w14:textId="77777777" w:rsidTr="007F1525">
        <w:trPr>
          <w:trHeight w:val="276"/>
        </w:trPr>
        <w:tc>
          <w:tcPr>
            <w:tcW w:w="2689" w:type="dxa"/>
            <w:shd w:val="clear" w:color="auto" w:fill="auto"/>
          </w:tcPr>
          <w:p w14:paraId="52336155" w14:textId="4A60919F" w:rsidR="00DA7F0D" w:rsidRPr="001A1660" w:rsidRDefault="00DA7F0D" w:rsidP="00DA7F0D">
            <w:pPr>
              <w:spacing w:after="0" w:line="240" w:lineRule="auto"/>
              <w:rPr>
                <w:b/>
                <w:sz w:val="20"/>
                <w:szCs w:val="20"/>
              </w:rPr>
            </w:pPr>
            <w:r w:rsidRPr="00702AB0">
              <w:rPr>
                <w:b/>
                <w:sz w:val="20"/>
                <w:szCs w:val="20"/>
              </w:rPr>
              <w:t>CI tools as a fundamental for sustainable competitive</w:t>
            </w:r>
            <w:r>
              <w:rPr>
                <w:b/>
                <w:sz w:val="20"/>
                <w:szCs w:val="20"/>
              </w:rPr>
              <w:t>ness</w:t>
            </w:r>
            <w:r w:rsidRPr="00702AB0">
              <w:rPr>
                <w:b/>
                <w:sz w:val="20"/>
                <w:szCs w:val="20"/>
              </w:rPr>
              <w:t xml:space="preserve"> </w:t>
            </w:r>
          </w:p>
        </w:tc>
        <w:tc>
          <w:tcPr>
            <w:tcW w:w="6599" w:type="dxa"/>
            <w:gridSpan w:val="3"/>
            <w:shd w:val="clear" w:color="auto" w:fill="auto"/>
          </w:tcPr>
          <w:p w14:paraId="1829EC5F" w14:textId="77777777" w:rsidR="00DA7F0D" w:rsidRPr="00BB139D" w:rsidRDefault="00DA7F0D" w:rsidP="00DA7F0D">
            <w:pPr>
              <w:pStyle w:val="ListParagraph"/>
              <w:numPr>
                <w:ilvl w:val="0"/>
                <w:numId w:val="36"/>
              </w:numPr>
            </w:pPr>
            <w:r w:rsidRPr="00195F4D">
              <w:rPr>
                <w:sz w:val="20"/>
                <w:szCs w:val="20"/>
              </w:rPr>
              <w:t>Using analysis tools for identifying and outsmarting the competition</w:t>
            </w:r>
            <w:r w:rsidRPr="00702AB0">
              <w:t>.</w:t>
            </w:r>
          </w:p>
        </w:tc>
      </w:tr>
      <w:tr w:rsidR="00DA7F0D" w:rsidRPr="00541325" w14:paraId="465DF864" w14:textId="77777777" w:rsidTr="007F1525">
        <w:trPr>
          <w:trHeight w:val="276"/>
        </w:trPr>
        <w:tc>
          <w:tcPr>
            <w:tcW w:w="2689" w:type="dxa"/>
            <w:shd w:val="clear" w:color="auto" w:fill="auto"/>
          </w:tcPr>
          <w:p w14:paraId="76C0B65E" w14:textId="77777777" w:rsidR="00DA7F0D" w:rsidRDefault="00DA7F0D" w:rsidP="00DA7F0D">
            <w:pPr>
              <w:spacing w:after="0" w:line="240" w:lineRule="auto"/>
              <w:rPr>
                <w:b/>
                <w:sz w:val="20"/>
                <w:szCs w:val="20"/>
              </w:rPr>
            </w:pPr>
            <w:r>
              <w:rPr>
                <w:b/>
                <w:sz w:val="20"/>
                <w:szCs w:val="20"/>
              </w:rPr>
              <w:t>Foresight and innovation</w:t>
            </w:r>
          </w:p>
        </w:tc>
        <w:tc>
          <w:tcPr>
            <w:tcW w:w="6599" w:type="dxa"/>
            <w:gridSpan w:val="3"/>
            <w:shd w:val="clear" w:color="auto" w:fill="auto"/>
          </w:tcPr>
          <w:p w14:paraId="5A2130E7" w14:textId="77777777" w:rsidR="00DA7F0D" w:rsidRPr="00541325" w:rsidRDefault="00DA7F0D" w:rsidP="00DA7F0D">
            <w:pPr>
              <w:pStyle w:val="ListParagraph"/>
              <w:numPr>
                <w:ilvl w:val="0"/>
                <w:numId w:val="36"/>
              </w:numPr>
              <w:rPr>
                <w:sz w:val="20"/>
                <w:szCs w:val="20"/>
              </w:rPr>
            </w:pPr>
            <w:r w:rsidRPr="00541325">
              <w:rPr>
                <w:sz w:val="20"/>
                <w:szCs w:val="20"/>
              </w:rPr>
              <w:t xml:space="preserve">The application of Foresight </w:t>
            </w:r>
            <w:r>
              <w:rPr>
                <w:sz w:val="20"/>
                <w:szCs w:val="20"/>
              </w:rPr>
              <w:t xml:space="preserve">or CI </w:t>
            </w:r>
            <w:r w:rsidRPr="00541325">
              <w:rPr>
                <w:sz w:val="20"/>
                <w:szCs w:val="20"/>
              </w:rPr>
              <w:t>in organisations</w:t>
            </w:r>
            <w:r>
              <w:rPr>
                <w:sz w:val="20"/>
                <w:szCs w:val="20"/>
              </w:rPr>
              <w:t xml:space="preserve"> for innovation.</w:t>
            </w:r>
          </w:p>
        </w:tc>
      </w:tr>
      <w:tr w:rsidR="00DA7F0D" w:rsidRPr="008A155A" w14:paraId="0C25DF68" w14:textId="77777777" w:rsidTr="007F1525">
        <w:trPr>
          <w:trHeight w:val="276"/>
        </w:trPr>
        <w:tc>
          <w:tcPr>
            <w:tcW w:w="2689" w:type="dxa"/>
            <w:shd w:val="clear" w:color="auto" w:fill="auto"/>
          </w:tcPr>
          <w:p w14:paraId="1E0EF271" w14:textId="77777777" w:rsidR="00DA7F0D" w:rsidRPr="008A155A" w:rsidRDefault="00DA7F0D" w:rsidP="00DA7F0D">
            <w:pPr>
              <w:spacing w:after="0" w:line="240" w:lineRule="auto"/>
              <w:rPr>
                <w:b/>
                <w:sz w:val="20"/>
                <w:szCs w:val="20"/>
              </w:rPr>
            </w:pPr>
            <w:r w:rsidRPr="008A155A">
              <w:rPr>
                <w:b/>
                <w:sz w:val="20"/>
                <w:szCs w:val="20"/>
              </w:rPr>
              <w:t>Economic Intelligence</w:t>
            </w:r>
          </w:p>
        </w:tc>
        <w:tc>
          <w:tcPr>
            <w:tcW w:w="6599" w:type="dxa"/>
            <w:gridSpan w:val="3"/>
            <w:shd w:val="clear" w:color="auto" w:fill="auto"/>
          </w:tcPr>
          <w:p w14:paraId="3E7791EC" w14:textId="77777777" w:rsidR="00DA7F0D" w:rsidRPr="008A155A" w:rsidRDefault="00DA7F0D" w:rsidP="00DA7F0D">
            <w:pPr>
              <w:pStyle w:val="ListParagraph"/>
              <w:numPr>
                <w:ilvl w:val="0"/>
                <w:numId w:val="36"/>
              </w:numPr>
              <w:rPr>
                <w:sz w:val="20"/>
                <w:szCs w:val="20"/>
              </w:rPr>
            </w:pPr>
            <w:r>
              <w:rPr>
                <w:sz w:val="20"/>
                <w:szCs w:val="20"/>
              </w:rPr>
              <w:t>Application of economic intelligence for the development of economies and regions (Africa).</w:t>
            </w:r>
          </w:p>
        </w:tc>
      </w:tr>
      <w:tr w:rsidR="00DA7F0D" w14:paraId="1314EC7C" w14:textId="77777777" w:rsidTr="007F1525">
        <w:trPr>
          <w:trHeight w:val="276"/>
        </w:trPr>
        <w:tc>
          <w:tcPr>
            <w:tcW w:w="2689" w:type="dxa"/>
            <w:shd w:val="clear" w:color="auto" w:fill="auto"/>
          </w:tcPr>
          <w:p w14:paraId="23F85600" w14:textId="77777777" w:rsidR="00DA7F0D" w:rsidRPr="008A155A" w:rsidRDefault="00DA7F0D" w:rsidP="00DA7F0D">
            <w:pPr>
              <w:spacing w:after="0" w:line="240" w:lineRule="auto"/>
              <w:rPr>
                <w:b/>
                <w:sz w:val="20"/>
                <w:szCs w:val="20"/>
              </w:rPr>
            </w:pPr>
            <w:r>
              <w:rPr>
                <w:b/>
                <w:sz w:val="20"/>
                <w:szCs w:val="20"/>
              </w:rPr>
              <w:t>Social Media and intelligence</w:t>
            </w:r>
          </w:p>
        </w:tc>
        <w:tc>
          <w:tcPr>
            <w:tcW w:w="6599" w:type="dxa"/>
            <w:gridSpan w:val="3"/>
            <w:shd w:val="clear" w:color="auto" w:fill="auto"/>
          </w:tcPr>
          <w:p w14:paraId="090800D7" w14:textId="77777777" w:rsidR="00DA7F0D" w:rsidRDefault="00DA7F0D" w:rsidP="00DA7F0D">
            <w:pPr>
              <w:pStyle w:val="ListParagraph"/>
              <w:numPr>
                <w:ilvl w:val="0"/>
                <w:numId w:val="36"/>
              </w:numPr>
              <w:rPr>
                <w:sz w:val="20"/>
                <w:szCs w:val="20"/>
              </w:rPr>
            </w:pPr>
            <w:r>
              <w:rPr>
                <w:sz w:val="20"/>
                <w:szCs w:val="20"/>
              </w:rPr>
              <w:t>Using social media in organisations for competitive/economic intelligence.</w:t>
            </w:r>
          </w:p>
        </w:tc>
      </w:tr>
    </w:tbl>
    <w:p w14:paraId="24C10340" w14:textId="77777777" w:rsidR="00F22FF4" w:rsidRPr="00BB139D" w:rsidRDefault="00F22FF4">
      <w:pPr>
        <w:rPr>
          <w:sz w:val="20"/>
          <w:szCs w:val="20"/>
        </w:rPr>
      </w:pPr>
    </w:p>
    <w:p w14:paraId="1BA67C8D" w14:textId="77777777" w:rsidR="00DE12ED" w:rsidRPr="00BB139D" w:rsidRDefault="00DE12ED" w:rsidP="00DE12ED">
      <w:pPr>
        <w:rPr>
          <w:sz w:val="20"/>
          <w:szCs w:val="20"/>
        </w:rPr>
      </w:pPr>
    </w:p>
    <w:sectPr w:rsidR="00DE12ED" w:rsidRPr="00BB139D" w:rsidSect="004A5718">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CC74C" w14:textId="77777777" w:rsidR="004A5718" w:rsidRDefault="004A5718" w:rsidP="007418B9">
      <w:pPr>
        <w:spacing w:after="0" w:line="240" w:lineRule="auto"/>
      </w:pPr>
      <w:r>
        <w:separator/>
      </w:r>
    </w:p>
  </w:endnote>
  <w:endnote w:type="continuationSeparator" w:id="0">
    <w:p w14:paraId="298E06B6" w14:textId="77777777" w:rsidR="004A5718" w:rsidRDefault="004A5718"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68606" w14:textId="77777777" w:rsidR="00BB0C5E" w:rsidRDefault="00BB0C5E">
    <w:pPr>
      <w:pStyle w:val="Footer"/>
      <w:jc w:val="center"/>
    </w:pPr>
  </w:p>
  <w:p w14:paraId="06406EB2"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3FC11" w14:textId="77777777" w:rsidR="004A5718" w:rsidRDefault="004A5718" w:rsidP="007418B9">
      <w:pPr>
        <w:spacing w:after="0" w:line="240" w:lineRule="auto"/>
      </w:pPr>
      <w:r>
        <w:separator/>
      </w:r>
    </w:p>
  </w:footnote>
  <w:footnote w:type="continuationSeparator" w:id="0">
    <w:p w14:paraId="1103DCD5" w14:textId="77777777" w:rsidR="004A5718" w:rsidRDefault="004A5718"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91BA6" w14:textId="4405C1E1"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C17263">
      <w:rPr>
        <w:b/>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C00728"/>
    <w:multiLevelType w:val="hybridMultilevel"/>
    <w:tmpl w:val="7D8ABB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5E232C"/>
    <w:multiLevelType w:val="hybridMultilevel"/>
    <w:tmpl w:val="EDC082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6F270721"/>
    <w:multiLevelType w:val="hybridMultilevel"/>
    <w:tmpl w:val="2E9C8A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986810035">
    <w:abstractNumId w:val="23"/>
  </w:num>
  <w:num w:numId="2" w16cid:durableId="743259136">
    <w:abstractNumId w:val="14"/>
  </w:num>
  <w:num w:numId="3" w16cid:durableId="337781288">
    <w:abstractNumId w:val="9"/>
  </w:num>
  <w:num w:numId="4" w16cid:durableId="1566404950">
    <w:abstractNumId w:val="34"/>
  </w:num>
  <w:num w:numId="5" w16cid:durableId="1636253907">
    <w:abstractNumId w:val="5"/>
  </w:num>
  <w:num w:numId="6" w16cid:durableId="453016972">
    <w:abstractNumId w:val="30"/>
  </w:num>
  <w:num w:numId="7" w16cid:durableId="860557414">
    <w:abstractNumId w:val="6"/>
  </w:num>
  <w:num w:numId="8" w16cid:durableId="2011563587">
    <w:abstractNumId w:val="2"/>
  </w:num>
  <w:num w:numId="9" w16cid:durableId="1203639426">
    <w:abstractNumId w:val="3"/>
  </w:num>
  <w:num w:numId="10" w16cid:durableId="1226796169">
    <w:abstractNumId w:val="7"/>
  </w:num>
  <w:num w:numId="11" w16cid:durableId="22562456">
    <w:abstractNumId w:val="1"/>
  </w:num>
  <w:num w:numId="12" w16cid:durableId="502166339">
    <w:abstractNumId w:val="20"/>
  </w:num>
  <w:num w:numId="13" w16cid:durableId="1775978130">
    <w:abstractNumId w:val="17"/>
  </w:num>
  <w:num w:numId="14" w16cid:durableId="1234198159">
    <w:abstractNumId w:val="11"/>
  </w:num>
  <w:num w:numId="15" w16cid:durableId="1570921422">
    <w:abstractNumId w:val="31"/>
  </w:num>
  <w:num w:numId="16" w16cid:durableId="1494028849">
    <w:abstractNumId w:val="24"/>
  </w:num>
  <w:num w:numId="17" w16cid:durableId="703869378">
    <w:abstractNumId w:val="13"/>
  </w:num>
  <w:num w:numId="18" w16cid:durableId="1739672151">
    <w:abstractNumId w:val="22"/>
  </w:num>
  <w:num w:numId="19" w16cid:durableId="566572570">
    <w:abstractNumId w:val="25"/>
  </w:num>
  <w:num w:numId="20" w16cid:durableId="1709068210">
    <w:abstractNumId w:val="27"/>
  </w:num>
  <w:num w:numId="21" w16cid:durableId="768307190">
    <w:abstractNumId w:val="8"/>
  </w:num>
  <w:num w:numId="22" w16cid:durableId="790589288">
    <w:abstractNumId w:val="19"/>
  </w:num>
  <w:num w:numId="23" w16cid:durableId="17380168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5665963">
    <w:abstractNumId w:val="28"/>
  </w:num>
  <w:num w:numId="25" w16cid:durableId="245463006">
    <w:abstractNumId w:val="0"/>
  </w:num>
  <w:num w:numId="26" w16cid:durableId="71701737">
    <w:abstractNumId w:val="15"/>
  </w:num>
  <w:num w:numId="27" w16cid:durableId="2013725194">
    <w:abstractNumId w:val="10"/>
  </w:num>
  <w:num w:numId="28" w16cid:durableId="807357436">
    <w:abstractNumId w:val="26"/>
  </w:num>
  <w:num w:numId="29" w16cid:durableId="276104015">
    <w:abstractNumId w:val="32"/>
  </w:num>
  <w:num w:numId="30" w16cid:durableId="1190796794">
    <w:abstractNumId w:val="29"/>
  </w:num>
  <w:num w:numId="31" w16cid:durableId="166555440">
    <w:abstractNumId w:val="21"/>
  </w:num>
  <w:num w:numId="32" w16cid:durableId="1831747339">
    <w:abstractNumId w:val="16"/>
  </w:num>
  <w:num w:numId="33" w16cid:durableId="275067995">
    <w:abstractNumId w:val="12"/>
  </w:num>
  <w:num w:numId="34" w16cid:durableId="1512524794">
    <w:abstractNumId w:val="33"/>
  </w:num>
  <w:num w:numId="35" w16cid:durableId="1036082500">
    <w:abstractNumId w:val="4"/>
  </w:num>
  <w:num w:numId="36" w16cid:durableId="70124341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09DF"/>
    <w:rsid w:val="00022460"/>
    <w:rsid w:val="00027F08"/>
    <w:rsid w:val="00030640"/>
    <w:rsid w:val="00031B45"/>
    <w:rsid w:val="00043D62"/>
    <w:rsid w:val="000547C9"/>
    <w:rsid w:val="000740E5"/>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101138"/>
    <w:rsid w:val="0010492E"/>
    <w:rsid w:val="001110A2"/>
    <w:rsid w:val="00114785"/>
    <w:rsid w:val="00144D68"/>
    <w:rsid w:val="001508EC"/>
    <w:rsid w:val="0015454A"/>
    <w:rsid w:val="00156F95"/>
    <w:rsid w:val="00164834"/>
    <w:rsid w:val="00164C47"/>
    <w:rsid w:val="00167156"/>
    <w:rsid w:val="00171C70"/>
    <w:rsid w:val="001720D3"/>
    <w:rsid w:val="00176448"/>
    <w:rsid w:val="00184987"/>
    <w:rsid w:val="00195F4D"/>
    <w:rsid w:val="001A1660"/>
    <w:rsid w:val="001C38CC"/>
    <w:rsid w:val="001C47C9"/>
    <w:rsid w:val="001D4449"/>
    <w:rsid w:val="001D55E4"/>
    <w:rsid w:val="001E1700"/>
    <w:rsid w:val="001E24D2"/>
    <w:rsid w:val="001E703D"/>
    <w:rsid w:val="001F7457"/>
    <w:rsid w:val="00213D44"/>
    <w:rsid w:val="00215F88"/>
    <w:rsid w:val="002207C5"/>
    <w:rsid w:val="00222FAE"/>
    <w:rsid w:val="002343EC"/>
    <w:rsid w:val="0024070B"/>
    <w:rsid w:val="002520DF"/>
    <w:rsid w:val="0027264C"/>
    <w:rsid w:val="002764A6"/>
    <w:rsid w:val="0028676D"/>
    <w:rsid w:val="00290390"/>
    <w:rsid w:val="00292635"/>
    <w:rsid w:val="0029610A"/>
    <w:rsid w:val="002A16B5"/>
    <w:rsid w:val="002A5170"/>
    <w:rsid w:val="002C2F98"/>
    <w:rsid w:val="002C6897"/>
    <w:rsid w:val="002D1A12"/>
    <w:rsid w:val="002D549C"/>
    <w:rsid w:val="002D67CF"/>
    <w:rsid w:val="002D686D"/>
    <w:rsid w:val="002F036E"/>
    <w:rsid w:val="002F7E99"/>
    <w:rsid w:val="003023C3"/>
    <w:rsid w:val="00303B90"/>
    <w:rsid w:val="00307A8B"/>
    <w:rsid w:val="00327657"/>
    <w:rsid w:val="00334828"/>
    <w:rsid w:val="003435AE"/>
    <w:rsid w:val="003508C1"/>
    <w:rsid w:val="003563DD"/>
    <w:rsid w:val="003637C5"/>
    <w:rsid w:val="00373950"/>
    <w:rsid w:val="00375CD7"/>
    <w:rsid w:val="0038562E"/>
    <w:rsid w:val="003A14DC"/>
    <w:rsid w:val="003B0BAA"/>
    <w:rsid w:val="003B4487"/>
    <w:rsid w:val="003B4E72"/>
    <w:rsid w:val="003C5293"/>
    <w:rsid w:val="003C6B4B"/>
    <w:rsid w:val="003E012A"/>
    <w:rsid w:val="0041426E"/>
    <w:rsid w:val="00431420"/>
    <w:rsid w:val="004322E1"/>
    <w:rsid w:val="00475F69"/>
    <w:rsid w:val="004771AE"/>
    <w:rsid w:val="00477D3B"/>
    <w:rsid w:val="00486EA1"/>
    <w:rsid w:val="004916D1"/>
    <w:rsid w:val="004A2ED8"/>
    <w:rsid w:val="004A5718"/>
    <w:rsid w:val="004C2A33"/>
    <w:rsid w:val="004D5F40"/>
    <w:rsid w:val="004E7F4B"/>
    <w:rsid w:val="004F301B"/>
    <w:rsid w:val="00517592"/>
    <w:rsid w:val="0052102E"/>
    <w:rsid w:val="00544721"/>
    <w:rsid w:val="005518D8"/>
    <w:rsid w:val="0055299D"/>
    <w:rsid w:val="0056381E"/>
    <w:rsid w:val="00596D3B"/>
    <w:rsid w:val="005A3713"/>
    <w:rsid w:val="005C01B7"/>
    <w:rsid w:val="005D177B"/>
    <w:rsid w:val="005F6582"/>
    <w:rsid w:val="00600BAC"/>
    <w:rsid w:val="0060588A"/>
    <w:rsid w:val="006201D3"/>
    <w:rsid w:val="006308A5"/>
    <w:rsid w:val="00634751"/>
    <w:rsid w:val="00641070"/>
    <w:rsid w:val="0065121E"/>
    <w:rsid w:val="006570F0"/>
    <w:rsid w:val="00661216"/>
    <w:rsid w:val="0068218F"/>
    <w:rsid w:val="00684EA8"/>
    <w:rsid w:val="00685AF5"/>
    <w:rsid w:val="00694266"/>
    <w:rsid w:val="006C0424"/>
    <w:rsid w:val="006C0BD9"/>
    <w:rsid w:val="006C5F14"/>
    <w:rsid w:val="006E0920"/>
    <w:rsid w:val="006E574C"/>
    <w:rsid w:val="006E78F7"/>
    <w:rsid w:val="00702AB0"/>
    <w:rsid w:val="00703FE8"/>
    <w:rsid w:val="00704DC0"/>
    <w:rsid w:val="00731CAE"/>
    <w:rsid w:val="007418B9"/>
    <w:rsid w:val="00761AB5"/>
    <w:rsid w:val="007713EE"/>
    <w:rsid w:val="007717D0"/>
    <w:rsid w:val="007756E2"/>
    <w:rsid w:val="00794A86"/>
    <w:rsid w:val="007B54B2"/>
    <w:rsid w:val="007B6BF3"/>
    <w:rsid w:val="007D2814"/>
    <w:rsid w:val="007D3903"/>
    <w:rsid w:val="007D4805"/>
    <w:rsid w:val="007E00CD"/>
    <w:rsid w:val="007E5EB1"/>
    <w:rsid w:val="007F14D5"/>
    <w:rsid w:val="007F1525"/>
    <w:rsid w:val="007F2A58"/>
    <w:rsid w:val="00811BAC"/>
    <w:rsid w:val="00816096"/>
    <w:rsid w:val="00824645"/>
    <w:rsid w:val="008410FF"/>
    <w:rsid w:val="00866216"/>
    <w:rsid w:val="008736F3"/>
    <w:rsid w:val="008D5178"/>
    <w:rsid w:val="008F1836"/>
    <w:rsid w:val="00902E7F"/>
    <w:rsid w:val="0091215C"/>
    <w:rsid w:val="00924BD5"/>
    <w:rsid w:val="009313DD"/>
    <w:rsid w:val="00931EAD"/>
    <w:rsid w:val="009331BD"/>
    <w:rsid w:val="00934D26"/>
    <w:rsid w:val="00942114"/>
    <w:rsid w:val="00946BA3"/>
    <w:rsid w:val="009562F0"/>
    <w:rsid w:val="009656D4"/>
    <w:rsid w:val="0099041C"/>
    <w:rsid w:val="00994BF8"/>
    <w:rsid w:val="00996303"/>
    <w:rsid w:val="009A2770"/>
    <w:rsid w:val="009A4C74"/>
    <w:rsid w:val="009C01A9"/>
    <w:rsid w:val="009E3FE8"/>
    <w:rsid w:val="009E536F"/>
    <w:rsid w:val="009E7647"/>
    <w:rsid w:val="009F17EA"/>
    <w:rsid w:val="00A00F11"/>
    <w:rsid w:val="00A07449"/>
    <w:rsid w:val="00A1216B"/>
    <w:rsid w:val="00A134BF"/>
    <w:rsid w:val="00A17DEA"/>
    <w:rsid w:val="00A332F7"/>
    <w:rsid w:val="00A36012"/>
    <w:rsid w:val="00A40A11"/>
    <w:rsid w:val="00A56FC3"/>
    <w:rsid w:val="00A660EF"/>
    <w:rsid w:val="00A67267"/>
    <w:rsid w:val="00A70779"/>
    <w:rsid w:val="00A82A69"/>
    <w:rsid w:val="00A8459E"/>
    <w:rsid w:val="00A84A50"/>
    <w:rsid w:val="00A9169A"/>
    <w:rsid w:val="00A97022"/>
    <w:rsid w:val="00AC42A5"/>
    <w:rsid w:val="00AD1D48"/>
    <w:rsid w:val="00AD5335"/>
    <w:rsid w:val="00AD60F4"/>
    <w:rsid w:val="00B10C8F"/>
    <w:rsid w:val="00B13AD4"/>
    <w:rsid w:val="00B212F7"/>
    <w:rsid w:val="00B2203C"/>
    <w:rsid w:val="00B35FA5"/>
    <w:rsid w:val="00B36494"/>
    <w:rsid w:val="00B369B8"/>
    <w:rsid w:val="00B36DD5"/>
    <w:rsid w:val="00B51E89"/>
    <w:rsid w:val="00B574E9"/>
    <w:rsid w:val="00B64EFC"/>
    <w:rsid w:val="00B705D1"/>
    <w:rsid w:val="00B748D5"/>
    <w:rsid w:val="00B811D6"/>
    <w:rsid w:val="00B83E8E"/>
    <w:rsid w:val="00B979BC"/>
    <w:rsid w:val="00BA7318"/>
    <w:rsid w:val="00BB0C5E"/>
    <w:rsid w:val="00BB139D"/>
    <w:rsid w:val="00BB200B"/>
    <w:rsid w:val="00BF7672"/>
    <w:rsid w:val="00C17263"/>
    <w:rsid w:val="00C52FE2"/>
    <w:rsid w:val="00C55692"/>
    <w:rsid w:val="00C556FA"/>
    <w:rsid w:val="00C74497"/>
    <w:rsid w:val="00C7453F"/>
    <w:rsid w:val="00C843DB"/>
    <w:rsid w:val="00C9241A"/>
    <w:rsid w:val="00CA2144"/>
    <w:rsid w:val="00CC0FEE"/>
    <w:rsid w:val="00CD64AE"/>
    <w:rsid w:val="00CE0EF7"/>
    <w:rsid w:val="00CE19B3"/>
    <w:rsid w:val="00D1016C"/>
    <w:rsid w:val="00D56A17"/>
    <w:rsid w:val="00D91467"/>
    <w:rsid w:val="00DA083B"/>
    <w:rsid w:val="00DA2F23"/>
    <w:rsid w:val="00DA7BDE"/>
    <w:rsid w:val="00DA7F0D"/>
    <w:rsid w:val="00DC7D77"/>
    <w:rsid w:val="00DD2983"/>
    <w:rsid w:val="00DD7F78"/>
    <w:rsid w:val="00DE12ED"/>
    <w:rsid w:val="00DF00D9"/>
    <w:rsid w:val="00E13E38"/>
    <w:rsid w:val="00E14283"/>
    <w:rsid w:val="00E2395E"/>
    <w:rsid w:val="00E4424F"/>
    <w:rsid w:val="00E61A0D"/>
    <w:rsid w:val="00E81BE3"/>
    <w:rsid w:val="00E93F4C"/>
    <w:rsid w:val="00EA68FE"/>
    <w:rsid w:val="00EB0AEF"/>
    <w:rsid w:val="00EC1C2E"/>
    <w:rsid w:val="00ED2C8B"/>
    <w:rsid w:val="00ED5056"/>
    <w:rsid w:val="00EE723C"/>
    <w:rsid w:val="00EF3D86"/>
    <w:rsid w:val="00F0057D"/>
    <w:rsid w:val="00F009DE"/>
    <w:rsid w:val="00F104BF"/>
    <w:rsid w:val="00F10DE1"/>
    <w:rsid w:val="00F22FF4"/>
    <w:rsid w:val="00F51093"/>
    <w:rsid w:val="00F7508E"/>
    <w:rsid w:val="00F76BBD"/>
    <w:rsid w:val="00F93ABF"/>
    <w:rsid w:val="00FB33E3"/>
    <w:rsid w:val="00FB410B"/>
    <w:rsid w:val="00FB5B09"/>
    <w:rsid w:val="00FB7E18"/>
    <w:rsid w:val="00FC720C"/>
    <w:rsid w:val="00FD360C"/>
    <w:rsid w:val="00FE2EDE"/>
    <w:rsid w:val="00FE46B3"/>
    <w:rsid w:val="00FE57AC"/>
    <w:rsid w:val="00FF3982"/>
    <w:rsid w:val="00FF7E58"/>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740C13"/>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Revision">
    <w:name w:val="Revision"/>
    <w:hidden/>
    <w:uiPriority w:val="99"/>
    <w:semiHidden/>
    <w:rsid w:val="00F10DE1"/>
    <w:rPr>
      <w:sz w:val="22"/>
      <w:szCs w:val="22"/>
      <w:lang w:eastAsia="en-US"/>
    </w:rPr>
  </w:style>
  <w:style w:type="character" w:styleId="UnresolvedMention">
    <w:name w:val="Unresolved Mention"/>
    <w:basedOn w:val="DefaultParagraphFont"/>
    <w:uiPriority w:val="99"/>
    <w:semiHidden/>
    <w:unhideWhenUsed/>
    <w:rsid w:val="002726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662509129">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shek@unisa.ac.za" TargetMode="External"/><Relationship Id="rId18" Type="http://schemas.openxmlformats.org/officeDocument/2006/relationships/hyperlink" Target="https://pulaski.pl/en/analysis-the-economic-intelligence-system-as-a-crucial-factor-in-the-success-of-the-responsible-development-pla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uir.unisa.ac.za/handle/10500/25/browse?authority=35273443-f4a5-41ef-9a31-10eb163d0abc&amp;type=author" TargetMode="External"/><Relationship Id="rId17" Type="http://schemas.openxmlformats.org/officeDocument/2006/relationships/hyperlink" Target="https://ojs.hh.se/index.php/JISIB/article/view/569" TargetMode="External"/><Relationship Id="rId2" Type="http://schemas.openxmlformats.org/officeDocument/2006/relationships/customXml" Target="../customXml/item2.xml"/><Relationship Id="rId16" Type="http://schemas.openxmlformats.org/officeDocument/2006/relationships/hyperlink" Target="https://doi.org/10.37380/jisib.v13iSpecial%20Issue%201.113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2-7259-4261" TargetMode="External"/><Relationship Id="rId5" Type="http://schemas.openxmlformats.org/officeDocument/2006/relationships/numbering" Target="numbering.xml"/><Relationship Id="rId15" Type="http://schemas.openxmlformats.org/officeDocument/2006/relationships/hyperlink" Target="https://doi.org/10.37380/jisib.v13iSpecial%20Issue%2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scip.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37380/jisib.v13iSpecial%20Issue%20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ct:contentTypeSchema xmlns:ct="http://schemas.microsoft.com/office/2006/metadata/contentType" xmlns:ma="http://schemas.microsoft.com/office/2006/metadata/properties/metaAttributes" ct:_="" ma:_="" ma:contentTypeName="Document" ma:contentTypeID="0x010100240BB7C409996B45B31BCB805992F1D1" ma:contentTypeVersion="13" ma:contentTypeDescription="Create a new document." ma:contentTypeScope="" ma:versionID="a4e14fc4f35ed1f514bd72623ecbccb0">
  <xsd:schema xmlns:xsd="http://www.w3.org/2001/XMLSchema" xmlns:xs="http://www.w3.org/2001/XMLSchema" xmlns:p="http://schemas.microsoft.com/office/2006/metadata/properties" xmlns:ns3="bf35acc6-25cf-4c86-bf1b-009f8ebdc238" xmlns:ns4="50b52f77-cc2c-4794-b6c4-72d1849d32d0" targetNamespace="http://schemas.microsoft.com/office/2006/metadata/properties" ma:root="true" ma:fieldsID="92a5cad5f0a369a1ffa9608ee9dd0c29" ns3:_="" ns4:_="">
    <xsd:import namespace="bf35acc6-25cf-4c86-bf1b-009f8ebdc238"/>
    <xsd:import namespace="50b52f77-cc2c-4794-b6c4-72d1849d32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5acc6-25cf-4c86-bf1b-009f8ebdc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b52f77-cc2c-4794-b6c4-72d1849d32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053A9A-839E-4695-AD79-CF3EF5CA00CA}">
  <ds:schemaRefs>
    <ds:schemaRef ds:uri="http://schemas.microsoft.com/sharepoint/v3/contenttype/forms"/>
  </ds:schemaRefs>
</ds:datastoreItem>
</file>

<file path=customXml/itemProps2.xml><?xml version="1.0" encoding="utf-8"?>
<ds:datastoreItem xmlns:ds="http://schemas.openxmlformats.org/officeDocument/2006/customXml" ds:itemID="{661676BF-0980-4263-A6B2-86C823F6F6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663658-1536-42E0-A8E8-96B6C09A0600}">
  <ds:schemaRefs>
    <ds:schemaRef ds:uri="http://schemas.openxmlformats.org/officeDocument/2006/bibliography"/>
  </ds:schemaRefs>
</ds:datastoreItem>
</file>

<file path=customXml/itemProps4.xml><?xml version="1.0" encoding="utf-8"?>
<ds:datastoreItem xmlns:ds="http://schemas.openxmlformats.org/officeDocument/2006/customXml" ds:itemID="{CB3D36F7-6547-4340-BFA6-5894A6841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5acc6-25cf-4c86-bf1b-009f8ebdc238"/>
    <ds:schemaRef ds:uri="50b52f77-cc2c-4794-b6c4-72d1849d32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10</TotalTime>
  <Pages>3</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Van Wyk, Ireze</cp:lastModifiedBy>
  <cp:revision>7</cp:revision>
  <cp:lastPrinted>2014-04-14T09:12:00Z</cp:lastPrinted>
  <dcterms:created xsi:type="dcterms:W3CDTF">2024-03-13T09:43:00Z</dcterms:created>
  <dcterms:modified xsi:type="dcterms:W3CDTF">2024-03-19T08:09:00Z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0x010100240BB7C409996B45B31BCB805992F1D1</vt:lpwstr>
  </property>
</Properties>
</file>