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368"/>
        <w:gridCol w:w="1327"/>
      </w:tblGrid>
      <w:tr w:rsidR="005B1550" w:rsidRPr="00271BC6" w14:paraId="0816B8E5" w14:textId="77777777" w:rsidTr="00446B15">
        <w:trPr>
          <w:trHeight w:val="276"/>
        </w:trPr>
        <w:tc>
          <w:tcPr>
            <w:tcW w:w="2547" w:type="dxa"/>
            <w:shd w:val="clear" w:color="auto" w:fill="auto"/>
          </w:tcPr>
          <w:p w14:paraId="55C2ADCB" w14:textId="77777777" w:rsidR="005B1550" w:rsidRPr="00271BC6" w:rsidRDefault="005B1550" w:rsidP="005B1550">
            <w:pPr>
              <w:spacing w:after="0" w:line="240" w:lineRule="auto"/>
              <w:rPr>
                <w:b/>
                <w:sz w:val="20"/>
                <w:szCs w:val="20"/>
                <w:lang w:val="en-GB"/>
              </w:rPr>
            </w:pPr>
            <w:r w:rsidRPr="00271BC6">
              <w:rPr>
                <w:b/>
                <w:sz w:val="20"/>
                <w:szCs w:val="20"/>
                <w:lang w:val="en-GB"/>
              </w:rPr>
              <w:t>Department</w:t>
            </w:r>
          </w:p>
        </w:tc>
        <w:tc>
          <w:tcPr>
            <w:tcW w:w="6695" w:type="dxa"/>
            <w:gridSpan w:val="2"/>
            <w:shd w:val="clear" w:color="auto" w:fill="auto"/>
          </w:tcPr>
          <w:p w14:paraId="28921AB1" w14:textId="77777777" w:rsidR="005B1550" w:rsidRPr="00271BC6" w:rsidRDefault="00716A1F" w:rsidP="005B1550">
            <w:pPr>
              <w:spacing w:after="0" w:line="240" w:lineRule="auto"/>
              <w:rPr>
                <w:sz w:val="20"/>
                <w:szCs w:val="20"/>
                <w:lang w:val="en-GB"/>
              </w:rPr>
            </w:pPr>
            <w:r>
              <w:rPr>
                <w:sz w:val="20"/>
                <w:szCs w:val="20"/>
                <w:lang w:val="en-GB"/>
              </w:rPr>
              <w:t xml:space="preserve">Business Management </w:t>
            </w:r>
          </w:p>
        </w:tc>
      </w:tr>
      <w:tr w:rsidR="005B1550" w:rsidRPr="00271BC6" w14:paraId="5F01E1F8" w14:textId="77777777" w:rsidTr="00446B15">
        <w:trPr>
          <w:trHeight w:val="276"/>
        </w:trPr>
        <w:tc>
          <w:tcPr>
            <w:tcW w:w="2547" w:type="dxa"/>
            <w:shd w:val="clear" w:color="auto" w:fill="auto"/>
          </w:tcPr>
          <w:p w14:paraId="6ABFCC55" w14:textId="77777777" w:rsidR="005B1550" w:rsidRPr="00271BC6" w:rsidRDefault="005B1550" w:rsidP="005B1550">
            <w:pPr>
              <w:spacing w:after="0" w:line="240" w:lineRule="auto"/>
              <w:rPr>
                <w:b/>
                <w:sz w:val="20"/>
                <w:szCs w:val="20"/>
                <w:lang w:val="en-GB"/>
              </w:rPr>
            </w:pPr>
            <w:r w:rsidRPr="00271BC6">
              <w:rPr>
                <w:b/>
                <w:sz w:val="20"/>
                <w:szCs w:val="20"/>
                <w:lang w:val="en-GB"/>
              </w:rPr>
              <w:t>Discipline</w:t>
            </w:r>
          </w:p>
        </w:tc>
        <w:tc>
          <w:tcPr>
            <w:tcW w:w="6695" w:type="dxa"/>
            <w:gridSpan w:val="2"/>
            <w:shd w:val="clear" w:color="auto" w:fill="auto"/>
          </w:tcPr>
          <w:p w14:paraId="5B0EB9FC" w14:textId="77777777" w:rsidR="005B1550" w:rsidRPr="00271BC6" w:rsidRDefault="00716A1F" w:rsidP="00716A1F">
            <w:pPr>
              <w:spacing w:after="0" w:line="240" w:lineRule="auto"/>
              <w:rPr>
                <w:sz w:val="20"/>
                <w:szCs w:val="20"/>
                <w:lang w:val="en-GB"/>
              </w:rPr>
            </w:pPr>
            <w:r>
              <w:rPr>
                <w:sz w:val="20"/>
                <w:szCs w:val="20"/>
                <w:lang w:val="en-GB"/>
              </w:rPr>
              <w:t>International Business/ International Finance</w:t>
            </w:r>
          </w:p>
        </w:tc>
      </w:tr>
      <w:tr w:rsidR="005B1550" w:rsidRPr="00271BC6" w14:paraId="572DD9B5" w14:textId="77777777" w:rsidTr="008F14B7">
        <w:tc>
          <w:tcPr>
            <w:tcW w:w="2547" w:type="dxa"/>
            <w:tcBorders>
              <w:bottom w:val="single" w:sz="4" w:space="0" w:color="auto"/>
            </w:tcBorders>
            <w:shd w:val="clear" w:color="auto" w:fill="auto"/>
          </w:tcPr>
          <w:p w14:paraId="6646D6BC" w14:textId="77777777" w:rsidR="005B1550" w:rsidRPr="00271BC6" w:rsidRDefault="005B1550" w:rsidP="005B1550">
            <w:pPr>
              <w:spacing w:after="0" w:line="240" w:lineRule="auto"/>
              <w:rPr>
                <w:b/>
                <w:sz w:val="20"/>
                <w:szCs w:val="20"/>
                <w:lang w:val="en-GB"/>
              </w:rPr>
            </w:pPr>
            <w:r w:rsidRPr="00271BC6">
              <w:rPr>
                <w:b/>
                <w:sz w:val="20"/>
                <w:szCs w:val="20"/>
                <w:lang w:val="en-GB"/>
              </w:rPr>
              <w:t>Research Focus Area</w:t>
            </w:r>
          </w:p>
        </w:tc>
        <w:tc>
          <w:tcPr>
            <w:tcW w:w="6695" w:type="dxa"/>
            <w:gridSpan w:val="2"/>
            <w:tcBorders>
              <w:bottom w:val="single" w:sz="4" w:space="0" w:color="auto"/>
            </w:tcBorders>
            <w:shd w:val="clear" w:color="auto" w:fill="auto"/>
          </w:tcPr>
          <w:p w14:paraId="46A8DCDD" w14:textId="77777777" w:rsidR="005B1550" w:rsidRPr="00271BC6" w:rsidRDefault="00716A1F" w:rsidP="005B1550">
            <w:pPr>
              <w:spacing w:after="0" w:line="240" w:lineRule="auto"/>
              <w:rPr>
                <w:sz w:val="20"/>
                <w:szCs w:val="20"/>
                <w:lang w:val="en-GB"/>
              </w:rPr>
            </w:pPr>
            <w:r>
              <w:rPr>
                <w:sz w:val="20"/>
                <w:szCs w:val="20"/>
                <w:lang w:val="en-GB"/>
              </w:rPr>
              <w:t xml:space="preserve">International Business Strategies and Finance  </w:t>
            </w:r>
          </w:p>
        </w:tc>
      </w:tr>
      <w:tr w:rsidR="008F14B7" w:rsidRPr="00271BC6" w14:paraId="39553A8A" w14:textId="77777777" w:rsidTr="008F14B7">
        <w:tc>
          <w:tcPr>
            <w:tcW w:w="2547" w:type="dxa"/>
            <w:tcBorders>
              <w:bottom w:val="single" w:sz="4" w:space="0" w:color="auto"/>
            </w:tcBorders>
            <w:shd w:val="clear" w:color="auto" w:fill="auto"/>
          </w:tcPr>
          <w:p w14:paraId="584B6FCA" w14:textId="3198BCA4" w:rsidR="008F14B7" w:rsidRPr="00271BC6" w:rsidRDefault="008F14B7" w:rsidP="008F14B7">
            <w:pPr>
              <w:spacing w:after="0" w:line="240" w:lineRule="auto"/>
              <w:rPr>
                <w:b/>
                <w:sz w:val="20"/>
                <w:szCs w:val="20"/>
                <w:lang w:val="en-GB"/>
              </w:rPr>
            </w:pPr>
            <w:r>
              <w:rPr>
                <w:b/>
                <w:sz w:val="20"/>
                <w:szCs w:val="20"/>
              </w:rPr>
              <w:t>Total capacity for 2025</w:t>
            </w:r>
          </w:p>
        </w:tc>
        <w:tc>
          <w:tcPr>
            <w:tcW w:w="6695" w:type="dxa"/>
            <w:gridSpan w:val="2"/>
            <w:tcBorders>
              <w:bottom w:val="single" w:sz="4" w:space="0" w:color="auto"/>
            </w:tcBorders>
            <w:shd w:val="clear" w:color="auto" w:fill="auto"/>
          </w:tcPr>
          <w:p w14:paraId="610C8B9F" w14:textId="1B9003BD" w:rsidR="008F14B7" w:rsidRDefault="008F14B7" w:rsidP="008F14B7">
            <w:pPr>
              <w:spacing w:after="0" w:line="240" w:lineRule="auto"/>
              <w:rPr>
                <w:sz w:val="20"/>
                <w:szCs w:val="20"/>
                <w:lang w:val="en-GB"/>
              </w:rPr>
            </w:pPr>
            <w:r>
              <w:rPr>
                <w:sz w:val="20"/>
                <w:szCs w:val="20"/>
                <w:lang w:val="en-GB"/>
              </w:rPr>
              <w:t>3 (2 PhDs and 1 Masters)</w:t>
            </w:r>
          </w:p>
        </w:tc>
      </w:tr>
      <w:tr w:rsidR="008F14B7" w:rsidRPr="00271BC6" w14:paraId="10BC3159" w14:textId="77777777" w:rsidTr="008F14B7">
        <w:tc>
          <w:tcPr>
            <w:tcW w:w="2547" w:type="dxa"/>
            <w:tcBorders>
              <w:top w:val="single" w:sz="4" w:space="0" w:color="auto"/>
              <w:left w:val="nil"/>
              <w:bottom w:val="nil"/>
              <w:right w:val="nil"/>
            </w:tcBorders>
            <w:shd w:val="clear" w:color="auto" w:fill="auto"/>
          </w:tcPr>
          <w:p w14:paraId="0BD8E0A5" w14:textId="77777777" w:rsidR="008F14B7" w:rsidRPr="00271BC6" w:rsidRDefault="008F14B7" w:rsidP="008F14B7">
            <w:pPr>
              <w:spacing w:after="0" w:line="240" w:lineRule="auto"/>
              <w:rPr>
                <w:b/>
                <w:sz w:val="20"/>
                <w:szCs w:val="20"/>
                <w:lang w:val="en-GB"/>
              </w:rPr>
            </w:pPr>
          </w:p>
        </w:tc>
        <w:tc>
          <w:tcPr>
            <w:tcW w:w="6695" w:type="dxa"/>
            <w:gridSpan w:val="2"/>
            <w:tcBorders>
              <w:top w:val="single" w:sz="4" w:space="0" w:color="auto"/>
              <w:left w:val="nil"/>
              <w:bottom w:val="nil"/>
              <w:right w:val="nil"/>
            </w:tcBorders>
            <w:shd w:val="clear" w:color="auto" w:fill="auto"/>
          </w:tcPr>
          <w:p w14:paraId="1A2ECEB2" w14:textId="77777777" w:rsidR="008F14B7" w:rsidRDefault="008F14B7" w:rsidP="008F14B7">
            <w:pPr>
              <w:spacing w:after="0" w:line="240" w:lineRule="auto"/>
              <w:rPr>
                <w:sz w:val="20"/>
                <w:szCs w:val="20"/>
                <w:lang w:val="en-GB"/>
              </w:rPr>
            </w:pPr>
          </w:p>
        </w:tc>
      </w:tr>
      <w:tr w:rsidR="008F14B7" w:rsidRPr="00271BC6" w14:paraId="7289AA73" w14:textId="77777777" w:rsidTr="00AB20CF">
        <w:tc>
          <w:tcPr>
            <w:tcW w:w="2547" w:type="dxa"/>
            <w:tcBorders>
              <w:top w:val="single" w:sz="4" w:space="0" w:color="auto"/>
            </w:tcBorders>
            <w:shd w:val="clear" w:color="auto" w:fill="D9D9D9" w:themeFill="background1" w:themeFillShade="D9"/>
          </w:tcPr>
          <w:p w14:paraId="03BCB4E2" w14:textId="76D5D701" w:rsidR="008F14B7" w:rsidRPr="00271BC6" w:rsidRDefault="008F14B7" w:rsidP="008F14B7">
            <w:pPr>
              <w:spacing w:after="0" w:line="240" w:lineRule="auto"/>
              <w:rPr>
                <w:b/>
                <w:sz w:val="20"/>
                <w:szCs w:val="20"/>
                <w:lang w:val="en-GB"/>
              </w:rPr>
            </w:pPr>
            <w:r w:rsidRPr="00271BC6">
              <w:rPr>
                <w:b/>
                <w:sz w:val="20"/>
                <w:szCs w:val="20"/>
                <w:lang w:val="en-GB"/>
              </w:rPr>
              <w:t>Supervision Team</w:t>
            </w:r>
          </w:p>
        </w:tc>
        <w:tc>
          <w:tcPr>
            <w:tcW w:w="5368" w:type="dxa"/>
            <w:tcBorders>
              <w:top w:val="single" w:sz="4" w:space="0" w:color="auto"/>
            </w:tcBorders>
            <w:shd w:val="clear" w:color="auto" w:fill="D9D9D9" w:themeFill="background1" w:themeFillShade="D9"/>
          </w:tcPr>
          <w:p w14:paraId="3803817A" w14:textId="1F581A26" w:rsidR="008F14B7" w:rsidRPr="008F14B7" w:rsidRDefault="008F14B7" w:rsidP="008F14B7">
            <w:pPr>
              <w:spacing w:after="0" w:line="240" w:lineRule="auto"/>
              <w:jc w:val="both"/>
              <w:rPr>
                <w:b/>
                <w:bCs/>
                <w:sz w:val="20"/>
                <w:szCs w:val="20"/>
                <w:lang w:val="en-GB"/>
              </w:rPr>
            </w:pPr>
            <w:r w:rsidRPr="009266C8">
              <w:rPr>
                <w:b/>
                <w:bCs/>
                <w:sz w:val="20"/>
                <w:szCs w:val="20"/>
                <w:lang w:val="en-GB"/>
              </w:rPr>
              <w:t>Academic Profile</w:t>
            </w:r>
          </w:p>
        </w:tc>
        <w:tc>
          <w:tcPr>
            <w:tcW w:w="1327" w:type="dxa"/>
            <w:tcBorders>
              <w:top w:val="single" w:sz="4" w:space="0" w:color="auto"/>
            </w:tcBorders>
            <w:shd w:val="clear" w:color="auto" w:fill="D9D9D9" w:themeFill="background1" w:themeFillShade="D9"/>
          </w:tcPr>
          <w:p w14:paraId="79740250" w14:textId="41790375" w:rsidR="008F14B7" w:rsidRPr="008F14B7" w:rsidRDefault="008F14B7" w:rsidP="008F14B7">
            <w:pPr>
              <w:spacing w:after="0" w:line="240" w:lineRule="auto"/>
              <w:rPr>
                <w:b/>
                <w:sz w:val="20"/>
                <w:szCs w:val="20"/>
                <w:lang w:val="en-GB"/>
              </w:rPr>
            </w:pPr>
            <w:r w:rsidRPr="007E54C3">
              <w:rPr>
                <w:b/>
                <w:sz w:val="20"/>
                <w:szCs w:val="20"/>
                <w:lang w:val="en-GB"/>
              </w:rPr>
              <w:t>Capacity</w:t>
            </w:r>
          </w:p>
        </w:tc>
      </w:tr>
      <w:tr w:rsidR="008F14B7" w:rsidRPr="00271BC6" w14:paraId="249952A3" w14:textId="77777777" w:rsidTr="008F14B7">
        <w:trPr>
          <w:trHeight w:val="3916"/>
        </w:trPr>
        <w:tc>
          <w:tcPr>
            <w:tcW w:w="2547" w:type="dxa"/>
            <w:shd w:val="clear" w:color="auto" w:fill="auto"/>
          </w:tcPr>
          <w:p w14:paraId="60426AED" w14:textId="77777777" w:rsidR="0007427C" w:rsidRDefault="0007427C" w:rsidP="008F14B7">
            <w:pPr>
              <w:spacing w:after="0" w:line="240" w:lineRule="auto"/>
              <w:rPr>
                <w:sz w:val="20"/>
                <w:szCs w:val="20"/>
                <w:lang w:val="pt-BR"/>
              </w:rPr>
            </w:pPr>
          </w:p>
          <w:p w14:paraId="5D425CFC" w14:textId="77777777" w:rsidR="0007427C" w:rsidRDefault="0007427C" w:rsidP="008F14B7">
            <w:pPr>
              <w:spacing w:after="0" w:line="240" w:lineRule="auto"/>
              <w:rPr>
                <w:sz w:val="20"/>
                <w:szCs w:val="20"/>
                <w:lang w:val="pt-BR"/>
              </w:rPr>
            </w:pPr>
          </w:p>
          <w:p w14:paraId="5E7C027A" w14:textId="77777777" w:rsidR="0007427C" w:rsidRDefault="0007427C" w:rsidP="008F14B7">
            <w:pPr>
              <w:spacing w:after="0" w:line="240" w:lineRule="auto"/>
              <w:rPr>
                <w:sz w:val="20"/>
                <w:szCs w:val="20"/>
                <w:lang w:val="pt-BR"/>
              </w:rPr>
            </w:pPr>
          </w:p>
          <w:p w14:paraId="728FC7BD" w14:textId="77777777" w:rsidR="0007427C" w:rsidRDefault="0007427C" w:rsidP="008F14B7">
            <w:pPr>
              <w:spacing w:after="0" w:line="240" w:lineRule="auto"/>
              <w:rPr>
                <w:sz w:val="20"/>
                <w:szCs w:val="20"/>
                <w:lang w:val="pt-BR"/>
              </w:rPr>
            </w:pPr>
          </w:p>
          <w:p w14:paraId="2C450361" w14:textId="77777777" w:rsidR="0007427C" w:rsidRDefault="0007427C" w:rsidP="008F14B7">
            <w:pPr>
              <w:spacing w:after="0" w:line="240" w:lineRule="auto"/>
              <w:rPr>
                <w:sz w:val="20"/>
                <w:szCs w:val="20"/>
                <w:lang w:val="pt-BR"/>
              </w:rPr>
            </w:pPr>
          </w:p>
          <w:p w14:paraId="75BF5295" w14:textId="77777777" w:rsidR="0007427C" w:rsidRDefault="0007427C" w:rsidP="008F14B7">
            <w:pPr>
              <w:spacing w:after="0" w:line="240" w:lineRule="auto"/>
              <w:rPr>
                <w:sz w:val="20"/>
                <w:szCs w:val="20"/>
                <w:lang w:val="pt-BR"/>
              </w:rPr>
            </w:pPr>
          </w:p>
          <w:p w14:paraId="16173568" w14:textId="77777777" w:rsidR="0007427C" w:rsidRDefault="0007427C" w:rsidP="008F14B7">
            <w:pPr>
              <w:spacing w:after="0" w:line="240" w:lineRule="auto"/>
              <w:rPr>
                <w:sz w:val="20"/>
                <w:szCs w:val="20"/>
                <w:lang w:val="pt-BR"/>
              </w:rPr>
            </w:pPr>
          </w:p>
          <w:p w14:paraId="2B7BC3F0" w14:textId="77777777" w:rsidR="0007427C" w:rsidRDefault="0007427C" w:rsidP="008F14B7">
            <w:pPr>
              <w:spacing w:after="0" w:line="240" w:lineRule="auto"/>
              <w:rPr>
                <w:sz w:val="20"/>
                <w:szCs w:val="20"/>
                <w:lang w:val="pt-BR"/>
              </w:rPr>
            </w:pPr>
          </w:p>
          <w:p w14:paraId="4F17E4A3" w14:textId="77777777" w:rsidR="0007427C" w:rsidRDefault="0007427C" w:rsidP="008F14B7">
            <w:pPr>
              <w:spacing w:after="0" w:line="240" w:lineRule="auto"/>
              <w:rPr>
                <w:sz w:val="20"/>
                <w:szCs w:val="20"/>
                <w:lang w:val="pt-BR"/>
              </w:rPr>
            </w:pPr>
          </w:p>
          <w:p w14:paraId="30ED131D" w14:textId="5677DAF6" w:rsidR="008F14B7" w:rsidRPr="0024119A" w:rsidRDefault="008F14B7" w:rsidP="008F14B7">
            <w:pPr>
              <w:spacing w:after="0" w:line="240" w:lineRule="auto"/>
              <w:rPr>
                <w:b/>
                <w:bCs/>
                <w:sz w:val="20"/>
                <w:szCs w:val="20"/>
                <w:lang w:val="pt-BR"/>
              </w:rPr>
            </w:pPr>
            <w:r w:rsidRPr="0024119A">
              <w:rPr>
                <w:b/>
                <w:bCs/>
                <w:sz w:val="20"/>
                <w:szCs w:val="20"/>
                <w:lang w:val="pt-BR"/>
              </w:rPr>
              <w:t>Prof R A Aregbeshola</w:t>
            </w:r>
          </w:p>
          <w:p w14:paraId="12031748" w14:textId="77777777" w:rsidR="008F14B7" w:rsidRPr="00716A1F" w:rsidRDefault="008F14B7" w:rsidP="008F14B7">
            <w:pPr>
              <w:spacing w:after="0" w:line="240" w:lineRule="auto"/>
              <w:rPr>
                <w:sz w:val="20"/>
                <w:szCs w:val="20"/>
                <w:lang w:val="pt-BR"/>
              </w:rPr>
            </w:pPr>
            <w:proofErr w:type="spellStart"/>
            <w:r w:rsidRPr="00716A1F">
              <w:rPr>
                <w:sz w:val="20"/>
                <w:szCs w:val="20"/>
                <w:lang w:val="pt-BR"/>
              </w:rPr>
              <w:t>Email</w:t>
            </w:r>
            <w:proofErr w:type="spellEnd"/>
            <w:r w:rsidRPr="00716A1F">
              <w:rPr>
                <w:sz w:val="20"/>
                <w:szCs w:val="20"/>
                <w:lang w:val="pt-BR"/>
              </w:rPr>
              <w:t xml:space="preserve">: </w:t>
            </w:r>
            <w:hyperlink r:id="rId7" w:history="1">
              <w:r w:rsidRPr="00AA3D75">
                <w:rPr>
                  <w:rStyle w:val="Hyperlink"/>
                  <w:sz w:val="20"/>
                  <w:szCs w:val="20"/>
                  <w:lang w:val="pt-BR"/>
                </w:rPr>
                <w:t>aregbra@unisa.ac.za</w:t>
              </w:r>
            </w:hyperlink>
            <w:r>
              <w:rPr>
                <w:sz w:val="20"/>
                <w:szCs w:val="20"/>
                <w:lang w:val="pt-BR"/>
              </w:rPr>
              <w:t xml:space="preserve"> </w:t>
            </w:r>
          </w:p>
          <w:p w14:paraId="7C4017E5" w14:textId="77777777" w:rsidR="008F14B7" w:rsidRDefault="008F14B7" w:rsidP="008F14B7">
            <w:pPr>
              <w:spacing w:after="0" w:line="240" w:lineRule="auto"/>
              <w:rPr>
                <w:b/>
                <w:sz w:val="20"/>
                <w:szCs w:val="20"/>
                <w:lang w:val="en-GB"/>
              </w:rPr>
            </w:pPr>
          </w:p>
          <w:p w14:paraId="77760A69" w14:textId="77777777" w:rsidR="00D334DD" w:rsidRDefault="00D334DD" w:rsidP="008F14B7">
            <w:pPr>
              <w:spacing w:after="0" w:line="240" w:lineRule="auto"/>
              <w:rPr>
                <w:b/>
                <w:sz w:val="20"/>
                <w:szCs w:val="20"/>
                <w:lang w:val="en-GB"/>
              </w:rPr>
            </w:pPr>
          </w:p>
          <w:p w14:paraId="1C0FD5B6" w14:textId="77777777" w:rsidR="00D334DD" w:rsidRDefault="00D334DD" w:rsidP="008F14B7">
            <w:pPr>
              <w:spacing w:after="0" w:line="240" w:lineRule="auto"/>
              <w:rPr>
                <w:b/>
                <w:sz w:val="20"/>
                <w:szCs w:val="20"/>
                <w:lang w:val="en-GB"/>
              </w:rPr>
            </w:pPr>
          </w:p>
          <w:p w14:paraId="0B1D6D18" w14:textId="77777777" w:rsidR="00D334DD" w:rsidRDefault="00D334DD" w:rsidP="008F14B7">
            <w:pPr>
              <w:spacing w:after="0" w:line="240" w:lineRule="auto"/>
              <w:rPr>
                <w:b/>
                <w:sz w:val="20"/>
                <w:szCs w:val="20"/>
                <w:lang w:val="en-GB"/>
              </w:rPr>
            </w:pPr>
          </w:p>
          <w:p w14:paraId="20CA6D20" w14:textId="77777777" w:rsidR="00D334DD" w:rsidRDefault="00D334DD" w:rsidP="008F14B7">
            <w:pPr>
              <w:spacing w:after="0" w:line="240" w:lineRule="auto"/>
              <w:rPr>
                <w:b/>
                <w:sz w:val="20"/>
                <w:szCs w:val="20"/>
                <w:lang w:val="en-GB"/>
              </w:rPr>
            </w:pPr>
          </w:p>
          <w:p w14:paraId="1505E347" w14:textId="3F777C0C" w:rsidR="00D334DD" w:rsidRPr="00D334DD" w:rsidRDefault="00D334DD" w:rsidP="00BB6051">
            <w:pPr>
              <w:spacing w:after="0" w:line="240" w:lineRule="auto"/>
              <w:rPr>
                <w:bCs/>
                <w:sz w:val="20"/>
                <w:szCs w:val="20"/>
                <w:lang w:val="en-GB"/>
              </w:rPr>
            </w:pPr>
          </w:p>
        </w:tc>
        <w:tc>
          <w:tcPr>
            <w:tcW w:w="5368" w:type="dxa"/>
            <w:shd w:val="clear" w:color="auto" w:fill="auto"/>
          </w:tcPr>
          <w:p w14:paraId="578A8D28" w14:textId="2FB2D1A5" w:rsidR="0007427C" w:rsidRDefault="0007427C" w:rsidP="0007427C">
            <w:pPr>
              <w:spacing w:after="0" w:line="240" w:lineRule="auto"/>
              <w:jc w:val="both"/>
              <w:rPr>
                <w:bCs/>
                <w:sz w:val="20"/>
                <w:szCs w:val="20"/>
              </w:rPr>
            </w:pPr>
            <w:r w:rsidRPr="00271BC6">
              <w:rPr>
                <w:sz w:val="20"/>
                <w:szCs w:val="20"/>
                <w:lang w:val="en-GB"/>
              </w:rPr>
              <w:t xml:space="preserve">Important: </w:t>
            </w:r>
            <w:r>
              <w:rPr>
                <w:sz w:val="20"/>
                <w:szCs w:val="20"/>
                <w:lang w:val="en-GB"/>
              </w:rPr>
              <w:t xml:space="preserve">Every interested student is expected to have some background knowledge in economics and Statistics. </w:t>
            </w:r>
            <w:r w:rsidRPr="00271BC6">
              <w:rPr>
                <w:sz w:val="20"/>
                <w:szCs w:val="20"/>
                <w:lang w:val="en-GB"/>
              </w:rPr>
              <w:t xml:space="preserve">The level of </w:t>
            </w:r>
            <w:r>
              <w:rPr>
                <w:sz w:val="20"/>
                <w:szCs w:val="20"/>
                <w:lang w:val="en-GB"/>
              </w:rPr>
              <w:t xml:space="preserve">competence of potential supervisors in </w:t>
            </w:r>
            <w:r w:rsidRPr="00271BC6">
              <w:rPr>
                <w:sz w:val="20"/>
                <w:szCs w:val="20"/>
                <w:lang w:val="en-GB"/>
              </w:rPr>
              <w:t>Econometrics</w:t>
            </w:r>
            <w:r>
              <w:rPr>
                <w:sz w:val="20"/>
                <w:szCs w:val="20"/>
                <w:lang w:val="en-GB"/>
              </w:rPr>
              <w:t xml:space="preserve"> and quantitative studies are </w:t>
            </w:r>
            <w:r w:rsidRPr="00271BC6">
              <w:rPr>
                <w:sz w:val="20"/>
                <w:szCs w:val="20"/>
                <w:lang w:val="en-GB"/>
              </w:rPr>
              <w:t xml:space="preserve">indicated at the end of </w:t>
            </w:r>
            <w:r>
              <w:rPr>
                <w:sz w:val="20"/>
                <w:szCs w:val="20"/>
                <w:lang w:val="en-GB"/>
              </w:rPr>
              <w:t>the</w:t>
            </w:r>
            <w:r w:rsidRPr="00271BC6">
              <w:rPr>
                <w:sz w:val="20"/>
                <w:szCs w:val="20"/>
                <w:lang w:val="en-GB"/>
              </w:rPr>
              <w:t xml:space="preserve"> academic profile (NONE; BASIC; INTERMEDIATE; ADVANCED).</w:t>
            </w:r>
          </w:p>
          <w:p w14:paraId="767AB475" w14:textId="77777777" w:rsidR="0007427C" w:rsidRDefault="0007427C" w:rsidP="008F14B7">
            <w:pPr>
              <w:spacing w:after="0" w:line="240" w:lineRule="auto"/>
              <w:jc w:val="both"/>
              <w:rPr>
                <w:bCs/>
                <w:sz w:val="20"/>
                <w:szCs w:val="20"/>
              </w:rPr>
            </w:pPr>
          </w:p>
          <w:p w14:paraId="6340D4D0" w14:textId="77777777" w:rsidR="0007427C" w:rsidRDefault="0007427C" w:rsidP="008F14B7">
            <w:pPr>
              <w:spacing w:after="0" w:line="240" w:lineRule="auto"/>
              <w:jc w:val="both"/>
              <w:rPr>
                <w:bCs/>
                <w:sz w:val="20"/>
                <w:szCs w:val="20"/>
              </w:rPr>
            </w:pPr>
          </w:p>
          <w:p w14:paraId="7E026F62" w14:textId="77777777" w:rsidR="0007427C" w:rsidRDefault="0007427C" w:rsidP="008F14B7">
            <w:pPr>
              <w:spacing w:after="0" w:line="240" w:lineRule="auto"/>
              <w:jc w:val="both"/>
              <w:rPr>
                <w:bCs/>
                <w:sz w:val="20"/>
                <w:szCs w:val="20"/>
              </w:rPr>
            </w:pPr>
          </w:p>
          <w:p w14:paraId="48C350E9" w14:textId="49312919" w:rsidR="008F14B7" w:rsidRDefault="008F14B7" w:rsidP="008F14B7">
            <w:pPr>
              <w:spacing w:after="0" w:line="240" w:lineRule="auto"/>
              <w:jc w:val="both"/>
              <w:rPr>
                <w:bCs/>
                <w:sz w:val="20"/>
                <w:szCs w:val="20"/>
                <w:lang w:val="en-GB"/>
              </w:rPr>
            </w:pPr>
            <w:r>
              <w:rPr>
                <w:bCs/>
                <w:sz w:val="20"/>
                <w:szCs w:val="20"/>
              </w:rPr>
              <w:t>Aregbeshola Adewale is a specialist in International Business Strategies, expansions strategies of multinational corporations, institutional framework in emerging economies, international capital flows within the African context</w:t>
            </w:r>
            <w:r w:rsidRPr="009266C8">
              <w:rPr>
                <w:bCs/>
                <w:sz w:val="20"/>
                <w:szCs w:val="20"/>
                <w:lang w:val="en-GB"/>
              </w:rPr>
              <w:t>.</w:t>
            </w:r>
            <w:r>
              <w:rPr>
                <w:bCs/>
                <w:sz w:val="20"/>
                <w:szCs w:val="20"/>
                <w:lang w:val="en-GB"/>
              </w:rPr>
              <w:t xml:space="preserve"> He has also done extensive studies on the dynamics of African capital market and growth imperatives. His research focusses more on African countries and other emerging economies as well. </w:t>
            </w:r>
          </w:p>
          <w:p w14:paraId="5DEC1C02" w14:textId="279FB62D" w:rsidR="00D334DD" w:rsidRPr="00BB6051" w:rsidRDefault="008F14B7" w:rsidP="008F14B7">
            <w:pPr>
              <w:spacing w:after="0" w:line="240" w:lineRule="auto"/>
              <w:jc w:val="both"/>
              <w:rPr>
                <w:bCs/>
                <w:sz w:val="20"/>
                <w:szCs w:val="20"/>
                <w:lang w:val="en-GB"/>
              </w:rPr>
            </w:pPr>
            <w:r>
              <w:rPr>
                <w:bCs/>
                <w:sz w:val="20"/>
                <w:szCs w:val="20"/>
                <w:lang w:val="en-GB"/>
              </w:rPr>
              <w:t>Econometrics and quantitative expertise: Advanced</w:t>
            </w:r>
          </w:p>
        </w:tc>
        <w:tc>
          <w:tcPr>
            <w:tcW w:w="1327" w:type="dxa"/>
            <w:shd w:val="clear" w:color="auto" w:fill="auto"/>
          </w:tcPr>
          <w:p w14:paraId="1A786862" w14:textId="77777777" w:rsidR="0007427C" w:rsidRDefault="0007427C" w:rsidP="008F14B7">
            <w:pPr>
              <w:spacing w:after="0" w:line="240" w:lineRule="auto"/>
              <w:rPr>
                <w:sz w:val="20"/>
                <w:szCs w:val="20"/>
                <w:lang w:val="en-GB"/>
              </w:rPr>
            </w:pPr>
          </w:p>
          <w:p w14:paraId="4EA3DAC9" w14:textId="77777777" w:rsidR="0007427C" w:rsidRDefault="0007427C" w:rsidP="008F14B7">
            <w:pPr>
              <w:spacing w:after="0" w:line="240" w:lineRule="auto"/>
              <w:rPr>
                <w:sz w:val="20"/>
                <w:szCs w:val="20"/>
                <w:lang w:val="en-GB"/>
              </w:rPr>
            </w:pPr>
          </w:p>
          <w:p w14:paraId="36437654" w14:textId="77777777" w:rsidR="0007427C" w:rsidRDefault="0007427C" w:rsidP="008F14B7">
            <w:pPr>
              <w:spacing w:after="0" w:line="240" w:lineRule="auto"/>
              <w:rPr>
                <w:sz w:val="20"/>
                <w:szCs w:val="20"/>
                <w:lang w:val="en-GB"/>
              </w:rPr>
            </w:pPr>
          </w:p>
          <w:p w14:paraId="364FBBA1" w14:textId="77777777" w:rsidR="0007427C" w:rsidRDefault="0007427C" w:rsidP="008F14B7">
            <w:pPr>
              <w:spacing w:after="0" w:line="240" w:lineRule="auto"/>
              <w:rPr>
                <w:sz w:val="20"/>
                <w:szCs w:val="20"/>
                <w:lang w:val="en-GB"/>
              </w:rPr>
            </w:pPr>
          </w:p>
          <w:p w14:paraId="779597FE" w14:textId="77777777" w:rsidR="0007427C" w:rsidRDefault="0007427C" w:rsidP="008F14B7">
            <w:pPr>
              <w:spacing w:after="0" w:line="240" w:lineRule="auto"/>
              <w:rPr>
                <w:sz w:val="20"/>
                <w:szCs w:val="20"/>
                <w:lang w:val="en-GB"/>
              </w:rPr>
            </w:pPr>
          </w:p>
          <w:p w14:paraId="0C5CB747" w14:textId="77777777" w:rsidR="0007427C" w:rsidRDefault="0007427C" w:rsidP="008F14B7">
            <w:pPr>
              <w:spacing w:after="0" w:line="240" w:lineRule="auto"/>
              <w:rPr>
                <w:sz w:val="20"/>
                <w:szCs w:val="20"/>
                <w:lang w:val="en-GB"/>
              </w:rPr>
            </w:pPr>
          </w:p>
          <w:p w14:paraId="1C92F986" w14:textId="77777777" w:rsidR="0007427C" w:rsidRDefault="0007427C" w:rsidP="008F14B7">
            <w:pPr>
              <w:spacing w:after="0" w:line="240" w:lineRule="auto"/>
              <w:rPr>
                <w:sz w:val="20"/>
                <w:szCs w:val="20"/>
                <w:lang w:val="en-GB"/>
              </w:rPr>
            </w:pPr>
          </w:p>
          <w:p w14:paraId="0C22567E" w14:textId="77777777" w:rsidR="0007427C" w:rsidRDefault="0007427C" w:rsidP="008F14B7">
            <w:pPr>
              <w:spacing w:after="0" w:line="240" w:lineRule="auto"/>
              <w:rPr>
                <w:sz w:val="20"/>
                <w:szCs w:val="20"/>
                <w:lang w:val="en-GB"/>
              </w:rPr>
            </w:pPr>
          </w:p>
          <w:p w14:paraId="2C83D0F1" w14:textId="77777777" w:rsidR="0007427C" w:rsidRDefault="0007427C" w:rsidP="008F14B7">
            <w:pPr>
              <w:spacing w:after="0" w:line="240" w:lineRule="auto"/>
              <w:rPr>
                <w:sz w:val="20"/>
                <w:szCs w:val="20"/>
                <w:lang w:val="en-GB"/>
              </w:rPr>
            </w:pPr>
          </w:p>
          <w:p w14:paraId="2E9741A4" w14:textId="77777777" w:rsidR="008F14B7" w:rsidRDefault="008F14B7" w:rsidP="008F14B7">
            <w:pPr>
              <w:spacing w:after="0" w:line="240" w:lineRule="auto"/>
              <w:rPr>
                <w:sz w:val="20"/>
                <w:szCs w:val="20"/>
                <w:lang w:val="en-GB"/>
              </w:rPr>
            </w:pPr>
            <w:r w:rsidRPr="007E54C3">
              <w:rPr>
                <w:sz w:val="20"/>
                <w:szCs w:val="20"/>
                <w:lang w:val="en-GB"/>
              </w:rPr>
              <w:t>u</w:t>
            </w:r>
            <w:r w:rsidRPr="00271BC6">
              <w:rPr>
                <w:sz w:val="20"/>
                <w:szCs w:val="20"/>
                <w:lang w:val="en-GB"/>
              </w:rPr>
              <w:t xml:space="preserve">p to </w:t>
            </w:r>
            <w:r>
              <w:rPr>
                <w:sz w:val="20"/>
                <w:szCs w:val="20"/>
                <w:lang w:val="en-GB"/>
              </w:rPr>
              <w:t>2</w:t>
            </w:r>
            <w:r w:rsidRPr="00271BC6">
              <w:rPr>
                <w:sz w:val="20"/>
                <w:szCs w:val="20"/>
                <w:lang w:val="en-GB"/>
              </w:rPr>
              <w:t xml:space="preserve"> doctorate</w:t>
            </w:r>
            <w:r w:rsidRPr="007E54C3">
              <w:rPr>
                <w:sz w:val="20"/>
                <w:szCs w:val="20"/>
                <w:lang w:val="en-GB"/>
              </w:rPr>
              <w:t xml:space="preserve"> </w:t>
            </w:r>
            <w:r w:rsidRPr="00271BC6">
              <w:rPr>
                <w:sz w:val="20"/>
                <w:szCs w:val="20"/>
                <w:lang w:val="en-GB"/>
              </w:rPr>
              <w:t>s</w:t>
            </w:r>
            <w:r>
              <w:rPr>
                <w:sz w:val="20"/>
                <w:szCs w:val="20"/>
                <w:lang w:val="en-GB"/>
              </w:rPr>
              <w:t>tudents</w:t>
            </w:r>
            <w:r w:rsidRPr="00271BC6">
              <w:rPr>
                <w:sz w:val="20"/>
                <w:szCs w:val="20"/>
                <w:lang w:val="en-GB"/>
              </w:rPr>
              <w:t xml:space="preserve"> </w:t>
            </w:r>
            <w:r>
              <w:rPr>
                <w:sz w:val="20"/>
                <w:szCs w:val="20"/>
                <w:lang w:val="en-GB"/>
              </w:rPr>
              <w:t xml:space="preserve">and 1 master’s </w:t>
            </w:r>
          </w:p>
          <w:p w14:paraId="42F07012" w14:textId="77777777" w:rsidR="0007427C" w:rsidRDefault="0007427C" w:rsidP="008F14B7">
            <w:pPr>
              <w:spacing w:after="0" w:line="240" w:lineRule="auto"/>
              <w:rPr>
                <w:sz w:val="20"/>
                <w:szCs w:val="20"/>
                <w:lang w:val="en-GB"/>
              </w:rPr>
            </w:pPr>
          </w:p>
          <w:p w14:paraId="613798F1" w14:textId="77777777" w:rsidR="0007427C" w:rsidRDefault="0007427C" w:rsidP="008F14B7">
            <w:pPr>
              <w:spacing w:after="0" w:line="240" w:lineRule="auto"/>
              <w:rPr>
                <w:sz w:val="20"/>
                <w:szCs w:val="20"/>
                <w:lang w:val="en-GB"/>
              </w:rPr>
            </w:pPr>
          </w:p>
          <w:p w14:paraId="5BCA928D" w14:textId="77777777" w:rsidR="0007427C" w:rsidRDefault="0007427C" w:rsidP="008F14B7">
            <w:pPr>
              <w:spacing w:after="0" w:line="240" w:lineRule="auto"/>
              <w:rPr>
                <w:sz w:val="20"/>
                <w:szCs w:val="20"/>
                <w:lang w:val="en-GB"/>
              </w:rPr>
            </w:pPr>
          </w:p>
          <w:p w14:paraId="3E3F7C88" w14:textId="2A4F2A3B" w:rsidR="0007427C" w:rsidRPr="00271BC6" w:rsidRDefault="0007427C" w:rsidP="008F14B7">
            <w:pPr>
              <w:spacing w:after="0" w:line="240" w:lineRule="auto"/>
              <w:rPr>
                <w:sz w:val="20"/>
                <w:szCs w:val="20"/>
                <w:lang w:val="en-GB"/>
              </w:rPr>
            </w:pPr>
          </w:p>
        </w:tc>
      </w:tr>
      <w:tr w:rsidR="00BB6051" w:rsidRPr="00271BC6" w14:paraId="1AEF5C1F" w14:textId="77777777" w:rsidTr="00BB6051">
        <w:trPr>
          <w:trHeight w:val="2708"/>
        </w:trPr>
        <w:tc>
          <w:tcPr>
            <w:tcW w:w="2547" w:type="dxa"/>
            <w:shd w:val="clear" w:color="auto" w:fill="auto"/>
          </w:tcPr>
          <w:p w14:paraId="082CFEE9" w14:textId="77777777" w:rsidR="00BB6051" w:rsidRDefault="00BB6051" w:rsidP="00BB6051">
            <w:pPr>
              <w:spacing w:after="0" w:line="240" w:lineRule="auto"/>
              <w:rPr>
                <w:bCs/>
                <w:sz w:val="20"/>
                <w:szCs w:val="20"/>
                <w:lang w:val="en-GB"/>
              </w:rPr>
            </w:pPr>
            <w:r>
              <w:rPr>
                <w:b/>
                <w:sz w:val="20"/>
                <w:szCs w:val="20"/>
                <w:lang w:val="en-GB"/>
              </w:rPr>
              <w:t>Molefe Kgomotso</w:t>
            </w:r>
            <w:r>
              <w:rPr>
                <w:b/>
                <w:sz w:val="20"/>
                <w:szCs w:val="20"/>
                <w:lang w:val="en-GB"/>
              </w:rPr>
              <w:br/>
            </w:r>
            <w:r>
              <w:rPr>
                <w:bCs/>
                <w:sz w:val="20"/>
                <w:szCs w:val="20"/>
                <w:lang w:val="en-GB"/>
              </w:rPr>
              <w:t xml:space="preserve">Email: </w:t>
            </w:r>
            <w:hyperlink r:id="rId8" w:history="1">
              <w:r w:rsidRPr="004E0534">
                <w:rPr>
                  <w:rStyle w:val="Hyperlink"/>
                  <w:bCs/>
                  <w:sz w:val="20"/>
                  <w:szCs w:val="20"/>
                  <w:lang w:val="en-GB"/>
                </w:rPr>
                <w:t>esegoekp@unisa.ac.za</w:t>
              </w:r>
            </w:hyperlink>
            <w:r>
              <w:rPr>
                <w:bCs/>
                <w:sz w:val="20"/>
                <w:szCs w:val="20"/>
                <w:lang w:val="en-GB"/>
              </w:rPr>
              <w:t xml:space="preserve"> </w:t>
            </w:r>
          </w:p>
          <w:p w14:paraId="05E84D37" w14:textId="77777777" w:rsidR="00BB6051" w:rsidRDefault="00BB6051" w:rsidP="008F14B7">
            <w:pPr>
              <w:spacing w:after="0" w:line="240" w:lineRule="auto"/>
              <w:rPr>
                <w:sz w:val="20"/>
                <w:szCs w:val="20"/>
                <w:lang w:val="pt-BR"/>
              </w:rPr>
            </w:pPr>
          </w:p>
        </w:tc>
        <w:tc>
          <w:tcPr>
            <w:tcW w:w="5368" w:type="dxa"/>
            <w:shd w:val="clear" w:color="auto" w:fill="auto"/>
          </w:tcPr>
          <w:p w14:paraId="3BE6FAA4" w14:textId="48F0A5DD" w:rsidR="00BB6051" w:rsidRDefault="00BB6051" w:rsidP="0007427C">
            <w:pPr>
              <w:spacing w:after="0" w:line="240" w:lineRule="auto"/>
              <w:jc w:val="both"/>
              <w:rPr>
                <w:sz w:val="20"/>
                <w:szCs w:val="20"/>
                <w:lang w:val="en-GB"/>
              </w:rPr>
            </w:pPr>
            <w:r>
              <w:rPr>
                <w:sz w:val="20"/>
                <w:szCs w:val="20"/>
                <w:lang w:val="en-GB"/>
              </w:rPr>
              <w:t xml:space="preserve">Kgomotso completed a </w:t>
            </w:r>
            <w:proofErr w:type="gramStart"/>
            <w:r>
              <w:rPr>
                <w:sz w:val="20"/>
                <w:szCs w:val="20"/>
                <w:lang w:val="en-GB"/>
              </w:rPr>
              <w:t>master’s degree in financial Management</w:t>
            </w:r>
            <w:proofErr w:type="gramEnd"/>
            <w:r>
              <w:rPr>
                <w:sz w:val="20"/>
                <w:szCs w:val="20"/>
                <w:lang w:val="en-GB"/>
              </w:rPr>
              <w:t xml:space="preserve"> at the university of South Africa, where she investigated the relationship between household debt and interest rates dynamics – using advanced econometric approaches. She is current investigating the role of market efficiency on inflow of resources into emerging markets (Africa) in her PhD that is near completion. As a lecturer in International Business and market imperatives, she possesses the necessary quantitative capability to add values to academic project in her area of specialisation – International Business: Advanced.</w:t>
            </w:r>
          </w:p>
        </w:tc>
        <w:tc>
          <w:tcPr>
            <w:tcW w:w="1327" w:type="dxa"/>
            <w:shd w:val="clear" w:color="auto" w:fill="auto"/>
          </w:tcPr>
          <w:p w14:paraId="272A403E" w14:textId="3A13E0B1" w:rsidR="00BB6051" w:rsidRDefault="00BB6051" w:rsidP="008F14B7">
            <w:pPr>
              <w:spacing w:after="0" w:line="240" w:lineRule="auto"/>
              <w:rPr>
                <w:sz w:val="20"/>
                <w:szCs w:val="20"/>
                <w:lang w:val="en-GB"/>
              </w:rPr>
            </w:pPr>
            <w:r>
              <w:rPr>
                <w:sz w:val="20"/>
                <w:szCs w:val="20"/>
                <w:lang w:val="en-GB"/>
              </w:rPr>
              <w:t xml:space="preserve">Up to 2 </w:t>
            </w:r>
            <w:proofErr w:type="gramStart"/>
            <w:r>
              <w:rPr>
                <w:sz w:val="20"/>
                <w:szCs w:val="20"/>
                <w:lang w:val="en-GB"/>
              </w:rPr>
              <w:t>Master’s</w:t>
            </w:r>
            <w:proofErr w:type="gramEnd"/>
            <w:r>
              <w:rPr>
                <w:sz w:val="20"/>
                <w:szCs w:val="20"/>
                <w:lang w:val="en-GB"/>
              </w:rPr>
              <w:t xml:space="preserve"> students</w:t>
            </w:r>
          </w:p>
        </w:tc>
      </w:tr>
      <w:tr w:rsidR="008F14B7" w:rsidRPr="00271BC6" w14:paraId="51B526E5" w14:textId="77777777" w:rsidTr="00446B15">
        <w:trPr>
          <w:trHeight w:val="276"/>
        </w:trPr>
        <w:tc>
          <w:tcPr>
            <w:tcW w:w="2547" w:type="dxa"/>
            <w:shd w:val="clear" w:color="auto" w:fill="auto"/>
          </w:tcPr>
          <w:p w14:paraId="197563CF" w14:textId="77777777" w:rsidR="008F14B7" w:rsidRPr="00271BC6" w:rsidRDefault="008F14B7" w:rsidP="008F14B7">
            <w:pPr>
              <w:spacing w:after="0" w:line="240" w:lineRule="auto"/>
              <w:rPr>
                <w:b/>
                <w:bCs/>
                <w:sz w:val="20"/>
                <w:szCs w:val="20"/>
                <w:lang w:val="en-GB"/>
              </w:rPr>
            </w:pPr>
            <w:r w:rsidRPr="00271BC6">
              <w:rPr>
                <w:b/>
                <w:bCs/>
                <w:sz w:val="20"/>
                <w:szCs w:val="20"/>
                <w:lang w:val="en-GB"/>
              </w:rPr>
              <w:t>Model of Supervision</w:t>
            </w:r>
          </w:p>
        </w:tc>
        <w:tc>
          <w:tcPr>
            <w:tcW w:w="6695" w:type="dxa"/>
            <w:gridSpan w:val="2"/>
            <w:shd w:val="clear" w:color="auto" w:fill="auto"/>
          </w:tcPr>
          <w:p w14:paraId="4782B4B2" w14:textId="6D13C802" w:rsidR="008F14B7" w:rsidRDefault="008F14B7" w:rsidP="008F14B7">
            <w:pPr>
              <w:spacing w:after="0" w:line="240" w:lineRule="auto"/>
              <w:jc w:val="both"/>
              <w:rPr>
                <w:color w:val="1E2921"/>
                <w:sz w:val="20"/>
                <w:szCs w:val="20"/>
              </w:rPr>
            </w:pPr>
            <w:r w:rsidRPr="00271BC6">
              <w:rPr>
                <w:color w:val="1E2921"/>
                <w:sz w:val="20"/>
                <w:szCs w:val="20"/>
                <w:lang w:val="en-GB"/>
              </w:rPr>
              <w:t xml:space="preserve">Students will be allocated to a supervisor but will be required to work independently within the requirements of higher degrees studies as explained </w:t>
            </w:r>
            <w:r>
              <w:rPr>
                <w:color w:val="1E2921"/>
                <w:sz w:val="20"/>
                <w:szCs w:val="20"/>
                <w:lang w:val="en-GB"/>
              </w:rPr>
              <w:t xml:space="preserve">on the university website. </w:t>
            </w:r>
            <w:r w:rsidRPr="00716A1F">
              <w:rPr>
                <w:color w:val="1E2921"/>
                <w:sz w:val="20"/>
                <w:szCs w:val="20"/>
              </w:rPr>
              <w:t xml:space="preserve">The student will start with a two-page </w:t>
            </w:r>
            <w:r>
              <w:rPr>
                <w:color w:val="1E2921"/>
                <w:sz w:val="20"/>
                <w:szCs w:val="20"/>
              </w:rPr>
              <w:t xml:space="preserve">research </w:t>
            </w:r>
            <w:r w:rsidRPr="00716A1F">
              <w:rPr>
                <w:color w:val="1E2921"/>
                <w:sz w:val="20"/>
                <w:szCs w:val="20"/>
              </w:rPr>
              <w:t xml:space="preserve">outline of the proposed </w:t>
            </w:r>
            <w:r>
              <w:rPr>
                <w:color w:val="1E2921"/>
                <w:sz w:val="20"/>
                <w:szCs w:val="20"/>
              </w:rPr>
              <w:t>topic</w:t>
            </w:r>
            <w:r w:rsidRPr="00716A1F">
              <w:rPr>
                <w:color w:val="1E2921"/>
                <w:sz w:val="20"/>
                <w:szCs w:val="20"/>
              </w:rPr>
              <w:t>. After</w:t>
            </w:r>
            <w:r>
              <w:rPr>
                <w:color w:val="1E2921"/>
                <w:sz w:val="20"/>
                <w:szCs w:val="20"/>
              </w:rPr>
              <w:t xml:space="preserve"> approval by the supervisor (either of</w:t>
            </w:r>
            <w:r w:rsidRPr="00716A1F">
              <w:rPr>
                <w:color w:val="1E2921"/>
                <w:sz w:val="20"/>
                <w:szCs w:val="20"/>
              </w:rPr>
              <w:t xml:space="preserve"> the above), the </w:t>
            </w:r>
            <w:r>
              <w:rPr>
                <w:color w:val="1E2921"/>
                <w:sz w:val="20"/>
                <w:szCs w:val="20"/>
              </w:rPr>
              <w:t>onus then lies with the student to begin independent research engagement. The supervisor will guide the students and review t</w:t>
            </w:r>
            <w:r w:rsidRPr="00716A1F">
              <w:rPr>
                <w:color w:val="1E2921"/>
                <w:sz w:val="20"/>
                <w:szCs w:val="20"/>
              </w:rPr>
              <w:t xml:space="preserve">wo draft versions </w:t>
            </w:r>
            <w:r>
              <w:rPr>
                <w:color w:val="1E2921"/>
                <w:sz w:val="20"/>
                <w:szCs w:val="20"/>
              </w:rPr>
              <w:t xml:space="preserve">of the research proposal before it is presented at the research colloquium. </w:t>
            </w:r>
            <w:proofErr w:type="gramStart"/>
            <w:r w:rsidRPr="00716A1F">
              <w:rPr>
                <w:color w:val="1E2921"/>
                <w:sz w:val="20"/>
                <w:szCs w:val="20"/>
              </w:rPr>
              <w:t>For the purpose of</w:t>
            </w:r>
            <w:proofErr w:type="gramEnd"/>
            <w:r w:rsidRPr="00716A1F">
              <w:rPr>
                <w:color w:val="1E2921"/>
                <w:sz w:val="20"/>
                <w:szCs w:val="20"/>
              </w:rPr>
              <w:t xml:space="preserve"> accepting</w:t>
            </w:r>
            <w:r>
              <w:rPr>
                <w:color w:val="1E2921"/>
                <w:sz w:val="20"/>
                <w:szCs w:val="20"/>
              </w:rPr>
              <w:t>, rejecting,</w:t>
            </w:r>
            <w:r w:rsidRPr="00716A1F">
              <w:rPr>
                <w:color w:val="1E2921"/>
                <w:sz w:val="20"/>
                <w:szCs w:val="20"/>
              </w:rPr>
              <w:t xml:space="preserve"> </w:t>
            </w:r>
            <w:r>
              <w:rPr>
                <w:color w:val="1E2921"/>
                <w:sz w:val="20"/>
                <w:szCs w:val="20"/>
              </w:rPr>
              <w:t xml:space="preserve">or revising a </w:t>
            </w:r>
            <w:r w:rsidRPr="00716A1F">
              <w:rPr>
                <w:color w:val="1E2921"/>
                <w:sz w:val="20"/>
                <w:szCs w:val="20"/>
              </w:rPr>
              <w:t xml:space="preserve">research proposal, student will be invited to defend the research proposal </w:t>
            </w:r>
            <w:r>
              <w:rPr>
                <w:color w:val="1E2921"/>
                <w:sz w:val="20"/>
                <w:szCs w:val="20"/>
              </w:rPr>
              <w:t xml:space="preserve">within the third quarter of the research proposal year. </w:t>
            </w:r>
            <w:r w:rsidRPr="00716A1F">
              <w:rPr>
                <w:color w:val="1E2921"/>
                <w:sz w:val="20"/>
                <w:szCs w:val="20"/>
              </w:rPr>
              <w:t>It must be noted; however,</w:t>
            </w:r>
            <w:r>
              <w:rPr>
                <w:color w:val="1E2921"/>
                <w:sz w:val="20"/>
                <w:szCs w:val="20"/>
              </w:rPr>
              <w:t xml:space="preserve"> that the student must successfully defend the research proposal within the proposal year (first year of registration). No student will be permitted to present a research proposal at the colloquium more than two times during an academic year. A student may only be granted another year of proposal registration/defense with a very special permission from the university authority. </w:t>
            </w:r>
          </w:p>
          <w:p w14:paraId="7C5AE8DA" w14:textId="77777777" w:rsidR="008F14B7" w:rsidRPr="00716A1F" w:rsidRDefault="008F14B7" w:rsidP="008F14B7">
            <w:pPr>
              <w:spacing w:after="0" w:line="240" w:lineRule="auto"/>
              <w:jc w:val="both"/>
              <w:rPr>
                <w:color w:val="1E2921"/>
                <w:sz w:val="20"/>
                <w:szCs w:val="20"/>
              </w:rPr>
            </w:pPr>
          </w:p>
          <w:p w14:paraId="46A3EB61" w14:textId="77777777" w:rsidR="008F14B7" w:rsidRPr="00716A1F" w:rsidRDefault="008F14B7" w:rsidP="008F14B7">
            <w:pPr>
              <w:spacing w:after="0" w:line="240" w:lineRule="auto"/>
              <w:jc w:val="both"/>
              <w:rPr>
                <w:color w:val="1E2921"/>
                <w:sz w:val="20"/>
                <w:szCs w:val="20"/>
              </w:rPr>
            </w:pPr>
            <w:r>
              <w:rPr>
                <w:color w:val="1E2921"/>
                <w:sz w:val="20"/>
                <w:szCs w:val="20"/>
              </w:rPr>
              <w:t>If the student is successful at the research colloquium, t</w:t>
            </w:r>
            <w:r w:rsidRPr="00716A1F">
              <w:rPr>
                <w:color w:val="1E2921"/>
                <w:sz w:val="20"/>
                <w:szCs w:val="20"/>
              </w:rPr>
              <w:t xml:space="preserve">he </w:t>
            </w:r>
            <w:r>
              <w:rPr>
                <w:color w:val="1E2921"/>
                <w:sz w:val="20"/>
                <w:szCs w:val="20"/>
              </w:rPr>
              <w:t>student will then be permitted to register for the degree. Students are expected to submit only one chapter at a time to the study leader/supervisor. A minimum grace of 2 weeks must be granted to the supervisor to respond to the submitted chapter, and every concern raised by the supervisor must be fully addressed to the satisfaction of the supervisor before the student proceeds to another chapter</w:t>
            </w:r>
            <w:r w:rsidRPr="00716A1F">
              <w:rPr>
                <w:color w:val="1E2921"/>
                <w:sz w:val="20"/>
                <w:szCs w:val="20"/>
              </w:rPr>
              <w:t xml:space="preserve">. </w:t>
            </w:r>
          </w:p>
          <w:p w14:paraId="1989CF91" w14:textId="77777777" w:rsidR="008F14B7" w:rsidRPr="00716A1F" w:rsidRDefault="008F14B7" w:rsidP="008F14B7">
            <w:pPr>
              <w:spacing w:after="0" w:line="240" w:lineRule="auto"/>
              <w:jc w:val="both"/>
              <w:rPr>
                <w:color w:val="1E2921"/>
                <w:sz w:val="20"/>
                <w:szCs w:val="20"/>
              </w:rPr>
            </w:pPr>
          </w:p>
          <w:p w14:paraId="56ECB3A8" w14:textId="77777777" w:rsidR="008F14B7" w:rsidRPr="00271BC6" w:rsidRDefault="008F14B7" w:rsidP="008F14B7">
            <w:pPr>
              <w:spacing w:after="0" w:line="240" w:lineRule="auto"/>
              <w:jc w:val="both"/>
              <w:rPr>
                <w:color w:val="1E2921"/>
                <w:sz w:val="20"/>
                <w:szCs w:val="20"/>
                <w:lang w:val="en-GB"/>
              </w:rPr>
            </w:pPr>
            <w:r w:rsidRPr="00716A1F">
              <w:rPr>
                <w:color w:val="1E2921"/>
                <w:sz w:val="20"/>
                <w:szCs w:val="20"/>
              </w:rPr>
              <w:t>Communication will mainly take place through email.</w:t>
            </w:r>
            <w:r>
              <w:rPr>
                <w:color w:val="1E2921"/>
                <w:sz w:val="20"/>
                <w:szCs w:val="20"/>
              </w:rPr>
              <w:t xml:space="preserve"> However, students are allowed to visit their supervisor by prior appointment. </w:t>
            </w:r>
          </w:p>
        </w:tc>
      </w:tr>
      <w:tr w:rsidR="008F14B7" w:rsidRPr="00271BC6" w14:paraId="61E24BA4" w14:textId="77777777" w:rsidTr="00446B15">
        <w:trPr>
          <w:trHeight w:val="276"/>
        </w:trPr>
        <w:tc>
          <w:tcPr>
            <w:tcW w:w="2547" w:type="dxa"/>
            <w:shd w:val="clear" w:color="auto" w:fill="auto"/>
          </w:tcPr>
          <w:p w14:paraId="2DA20A7D" w14:textId="77777777" w:rsidR="008F14B7" w:rsidRPr="00271BC6" w:rsidRDefault="008F14B7" w:rsidP="008F14B7">
            <w:pPr>
              <w:spacing w:after="0" w:line="240" w:lineRule="auto"/>
              <w:rPr>
                <w:b/>
                <w:bCs/>
                <w:sz w:val="20"/>
                <w:szCs w:val="20"/>
                <w:lang w:val="en-GB"/>
              </w:rPr>
            </w:pPr>
            <w:r w:rsidRPr="00271BC6">
              <w:rPr>
                <w:b/>
                <w:bCs/>
                <w:sz w:val="20"/>
                <w:szCs w:val="20"/>
                <w:lang w:val="en-GB"/>
              </w:rPr>
              <w:t xml:space="preserve">Selection Criteria: </w:t>
            </w:r>
            <w:proofErr w:type="spellStart"/>
            <w:r w:rsidRPr="00271BC6">
              <w:rPr>
                <w:b/>
                <w:bCs/>
                <w:sz w:val="20"/>
                <w:szCs w:val="20"/>
                <w:lang w:val="en-GB"/>
              </w:rPr>
              <w:t>M</w:t>
            </w:r>
            <w:r>
              <w:rPr>
                <w:b/>
                <w:bCs/>
                <w:sz w:val="20"/>
                <w:szCs w:val="20"/>
                <w:lang w:val="en-GB"/>
              </w:rPr>
              <w:t>C</w:t>
            </w:r>
            <w:r w:rsidRPr="00271BC6">
              <w:rPr>
                <w:b/>
                <w:bCs/>
                <w:sz w:val="20"/>
                <w:szCs w:val="20"/>
                <w:lang w:val="en-GB"/>
              </w:rPr>
              <w:t>om</w:t>
            </w:r>
            <w:proofErr w:type="spellEnd"/>
            <w:r>
              <w:rPr>
                <w:b/>
                <w:bCs/>
                <w:sz w:val="20"/>
                <w:szCs w:val="20"/>
                <w:lang w:val="en-GB"/>
              </w:rPr>
              <w:t xml:space="preserve"> and PhD</w:t>
            </w:r>
          </w:p>
          <w:p w14:paraId="3C793B72" w14:textId="77777777" w:rsidR="008F14B7" w:rsidRPr="00271BC6" w:rsidRDefault="008F14B7" w:rsidP="008F14B7">
            <w:pPr>
              <w:spacing w:after="0" w:line="240" w:lineRule="auto"/>
              <w:rPr>
                <w:sz w:val="20"/>
                <w:szCs w:val="20"/>
                <w:lang w:val="en-GB"/>
              </w:rPr>
            </w:pPr>
          </w:p>
        </w:tc>
        <w:tc>
          <w:tcPr>
            <w:tcW w:w="6695" w:type="dxa"/>
            <w:gridSpan w:val="2"/>
            <w:shd w:val="clear" w:color="auto" w:fill="auto"/>
          </w:tcPr>
          <w:p w14:paraId="11EA5CAF" w14:textId="77777777" w:rsidR="008F14B7" w:rsidRPr="00271BC6" w:rsidRDefault="008F14B7" w:rsidP="008F14B7">
            <w:pPr>
              <w:spacing w:after="0" w:line="240" w:lineRule="auto"/>
              <w:jc w:val="both"/>
              <w:rPr>
                <w:color w:val="1E2921"/>
                <w:sz w:val="20"/>
                <w:szCs w:val="20"/>
                <w:lang w:val="en-GB"/>
              </w:rPr>
            </w:pPr>
            <w:r w:rsidRPr="00271BC6">
              <w:rPr>
                <w:color w:val="1E2921"/>
                <w:sz w:val="20"/>
                <w:szCs w:val="20"/>
                <w:lang w:val="en-GB"/>
              </w:rPr>
              <w:t xml:space="preserve">In addition to the admission criteria in the </w:t>
            </w:r>
            <w:proofErr w:type="spellStart"/>
            <w:r w:rsidRPr="00271BC6">
              <w:rPr>
                <w:i/>
                <w:iCs/>
                <w:color w:val="1E2921"/>
                <w:sz w:val="20"/>
                <w:szCs w:val="20"/>
                <w:lang w:val="en-GB"/>
              </w:rPr>
              <w:t>my</w:t>
            </w:r>
            <w:r w:rsidRPr="00271BC6">
              <w:rPr>
                <w:color w:val="1E2921"/>
                <w:sz w:val="20"/>
                <w:szCs w:val="20"/>
                <w:lang w:val="en-GB"/>
              </w:rPr>
              <w:t>Choice</w:t>
            </w:r>
            <w:proofErr w:type="spellEnd"/>
            <w:r w:rsidRPr="00271BC6">
              <w:rPr>
                <w:color w:val="1E2921"/>
                <w:sz w:val="20"/>
                <w:szCs w:val="20"/>
                <w:lang w:val="en-GB"/>
              </w:rPr>
              <w:t xml:space="preserve"> brochure, potential students are required to</w:t>
            </w:r>
            <w:r w:rsidRPr="0014037B">
              <w:rPr>
                <w:b/>
                <w:bCs/>
                <w:color w:val="1E2921"/>
                <w:sz w:val="20"/>
                <w:szCs w:val="20"/>
                <w:lang w:val="en-GB"/>
              </w:rPr>
              <w:t xml:space="preserve"> prepare a five-page expression of interest essay </w:t>
            </w:r>
            <w:r w:rsidRPr="00271BC6">
              <w:rPr>
                <w:color w:val="1E2921"/>
                <w:sz w:val="20"/>
                <w:szCs w:val="20"/>
                <w:lang w:val="en-GB"/>
              </w:rPr>
              <w:t>describing the following:</w:t>
            </w:r>
          </w:p>
          <w:p w14:paraId="66F25800" w14:textId="77777777" w:rsidR="008F14B7" w:rsidRPr="00271BC6"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Title and summary of the topic</w:t>
            </w:r>
          </w:p>
          <w:p w14:paraId="7A26DB34" w14:textId="709331B3" w:rsidR="008F14B7" w:rsidRPr="00271BC6"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 xml:space="preserve">Short literature review (focus on </w:t>
            </w:r>
            <w:r>
              <w:rPr>
                <w:color w:val="1E2921"/>
                <w:sz w:val="20"/>
                <w:szCs w:val="20"/>
                <w:lang w:val="en-GB"/>
              </w:rPr>
              <w:t>at least five</w:t>
            </w:r>
            <w:r w:rsidRPr="00271BC6">
              <w:rPr>
                <w:color w:val="1E2921"/>
                <w:sz w:val="20"/>
                <w:szCs w:val="20"/>
                <w:lang w:val="en-GB"/>
              </w:rPr>
              <w:t xml:space="preserve"> key journal articles and/or books</w:t>
            </w:r>
            <w:r>
              <w:rPr>
                <w:color w:val="1E2921"/>
                <w:sz w:val="20"/>
                <w:szCs w:val="20"/>
                <w:lang w:val="en-GB"/>
              </w:rPr>
              <w:t xml:space="preserve"> for master’s degree and 20 for PhD</w:t>
            </w:r>
            <w:r w:rsidRPr="00271BC6">
              <w:rPr>
                <w:color w:val="1E2921"/>
                <w:sz w:val="20"/>
                <w:szCs w:val="20"/>
                <w:lang w:val="en-GB"/>
              </w:rPr>
              <w:t>)</w:t>
            </w:r>
          </w:p>
          <w:p w14:paraId="3FB4469D" w14:textId="77777777" w:rsidR="008F14B7" w:rsidRPr="00271BC6"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Expected contribution of the study</w:t>
            </w:r>
          </w:p>
          <w:p w14:paraId="0205BE18" w14:textId="77777777" w:rsidR="008F14B7" w:rsidRPr="00271BC6"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Methodology</w:t>
            </w:r>
          </w:p>
          <w:p w14:paraId="315A5604" w14:textId="77777777" w:rsidR="008F14B7" w:rsidRPr="00271BC6"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Sources and availability of data</w:t>
            </w:r>
          </w:p>
          <w:p w14:paraId="71A2B33D" w14:textId="77777777" w:rsidR="008F14B7" w:rsidRPr="00271BC6"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Justification for this study (</w:t>
            </w:r>
            <w:r>
              <w:rPr>
                <w:color w:val="1E2921"/>
                <w:sz w:val="20"/>
                <w:szCs w:val="20"/>
                <w:lang w:val="en-GB"/>
              </w:rPr>
              <w:t>what value will your study add, especially at PhD level)</w:t>
            </w:r>
          </w:p>
          <w:p w14:paraId="09C32F90" w14:textId="77777777" w:rsidR="008F14B7" w:rsidRDefault="008F14B7" w:rsidP="008F14B7">
            <w:pPr>
              <w:pStyle w:val="ListParagraph"/>
              <w:numPr>
                <w:ilvl w:val="0"/>
                <w:numId w:val="3"/>
              </w:numPr>
              <w:spacing w:after="0" w:line="240" w:lineRule="auto"/>
              <w:ind w:left="459" w:hanging="459"/>
              <w:jc w:val="both"/>
              <w:rPr>
                <w:color w:val="1E2921"/>
                <w:sz w:val="20"/>
                <w:szCs w:val="20"/>
                <w:lang w:val="en-GB"/>
              </w:rPr>
            </w:pPr>
            <w:r w:rsidRPr="00271BC6">
              <w:rPr>
                <w:color w:val="1E2921"/>
                <w:sz w:val="20"/>
                <w:szCs w:val="20"/>
                <w:lang w:val="en-GB"/>
              </w:rPr>
              <w:t xml:space="preserve">List of references (use </w:t>
            </w:r>
            <w:r w:rsidRPr="007E54C3">
              <w:rPr>
                <w:color w:val="1E2921"/>
                <w:sz w:val="20"/>
                <w:szCs w:val="20"/>
                <w:lang w:val="en-GB"/>
              </w:rPr>
              <w:t xml:space="preserve">the </w:t>
            </w:r>
            <w:r w:rsidRPr="00271BC6">
              <w:rPr>
                <w:color w:val="1E2921"/>
                <w:sz w:val="20"/>
                <w:szCs w:val="20"/>
                <w:lang w:val="en-GB"/>
              </w:rPr>
              <w:t xml:space="preserve">Harvard </w:t>
            </w:r>
            <w:r w:rsidRPr="007E54C3">
              <w:rPr>
                <w:color w:val="1E2921"/>
                <w:sz w:val="20"/>
                <w:szCs w:val="20"/>
                <w:lang w:val="en-GB"/>
              </w:rPr>
              <w:t>r</w:t>
            </w:r>
            <w:r w:rsidRPr="00271BC6">
              <w:rPr>
                <w:color w:val="1E2921"/>
                <w:sz w:val="20"/>
                <w:szCs w:val="20"/>
                <w:lang w:val="en-GB"/>
              </w:rPr>
              <w:t>eferencing method)</w:t>
            </w:r>
          </w:p>
          <w:p w14:paraId="2004594B" w14:textId="77777777" w:rsidR="008F14B7" w:rsidRPr="006D4AFE" w:rsidRDefault="008F14B7" w:rsidP="008F14B7">
            <w:pPr>
              <w:spacing w:after="0" w:line="240" w:lineRule="auto"/>
              <w:jc w:val="both"/>
              <w:rPr>
                <w:color w:val="1E2921"/>
                <w:sz w:val="20"/>
                <w:szCs w:val="20"/>
                <w:lang w:val="en-GB"/>
              </w:rPr>
            </w:pPr>
          </w:p>
        </w:tc>
      </w:tr>
      <w:tr w:rsidR="008F14B7" w:rsidRPr="00271BC6" w14:paraId="11289FCE" w14:textId="77777777" w:rsidTr="00446B15">
        <w:trPr>
          <w:trHeight w:val="276"/>
        </w:trPr>
        <w:tc>
          <w:tcPr>
            <w:tcW w:w="2547" w:type="dxa"/>
            <w:shd w:val="clear" w:color="auto" w:fill="auto"/>
          </w:tcPr>
          <w:p w14:paraId="417CB1AA" w14:textId="77777777" w:rsidR="008F14B7" w:rsidRPr="00DA0CC4" w:rsidRDefault="008F14B7" w:rsidP="008F14B7">
            <w:pPr>
              <w:spacing w:after="0" w:line="240" w:lineRule="auto"/>
              <w:rPr>
                <w:b/>
                <w:bCs/>
                <w:sz w:val="20"/>
                <w:szCs w:val="20"/>
                <w:lang w:val="en-GB"/>
              </w:rPr>
            </w:pPr>
            <w:r w:rsidRPr="00DA0CC4">
              <w:rPr>
                <w:b/>
                <w:bCs/>
                <w:sz w:val="20"/>
                <w:szCs w:val="20"/>
                <w:lang w:val="en-GB"/>
              </w:rPr>
              <w:t xml:space="preserve">Documents to </w:t>
            </w:r>
            <w:r w:rsidRPr="007E54C3">
              <w:rPr>
                <w:b/>
                <w:bCs/>
                <w:sz w:val="20"/>
                <w:szCs w:val="20"/>
                <w:lang w:val="en-GB"/>
              </w:rPr>
              <w:t>S</w:t>
            </w:r>
            <w:r w:rsidRPr="00DA0CC4">
              <w:rPr>
                <w:b/>
                <w:bCs/>
                <w:sz w:val="20"/>
                <w:szCs w:val="20"/>
                <w:lang w:val="en-GB"/>
              </w:rPr>
              <w:t xml:space="preserve">upport </w:t>
            </w:r>
            <w:r w:rsidRPr="007E54C3">
              <w:rPr>
                <w:b/>
                <w:bCs/>
                <w:sz w:val="20"/>
                <w:szCs w:val="20"/>
                <w:lang w:val="en-GB"/>
              </w:rPr>
              <w:t>A</w:t>
            </w:r>
            <w:r w:rsidRPr="00DA0CC4">
              <w:rPr>
                <w:b/>
                <w:bCs/>
                <w:sz w:val="20"/>
                <w:szCs w:val="20"/>
                <w:lang w:val="en-GB"/>
              </w:rPr>
              <w:t xml:space="preserve">pplication </w:t>
            </w:r>
          </w:p>
        </w:tc>
        <w:tc>
          <w:tcPr>
            <w:tcW w:w="6695" w:type="dxa"/>
            <w:gridSpan w:val="2"/>
            <w:shd w:val="clear" w:color="auto" w:fill="auto"/>
          </w:tcPr>
          <w:p w14:paraId="67B88D7D" w14:textId="77777777" w:rsidR="008F14B7" w:rsidRPr="00271BC6" w:rsidRDefault="008F14B7" w:rsidP="008F14B7">
            <w:pPr>
              <w:pStyle w:val="ListParagraph"/>
              <w:spacing w:after="0" w:line="240" w:lineRule="auto"/>
              <w:ind w:left="0"/>
              <w:jc w:val="both"/>
              <w:rPr>
                <w:color w:val="1E2921"/>
                <w:sz w:val="20"/>
                <w:szCs w:val="20"/>
                <w:lang w:val="en-GB"/>
              </w:rPr>
            </w:pPr>
            <w:r w:rsidRPr="00271BC6">
              <w:rPr>
                <w:color w:val="1E2921"/>
                <w:sz w:val="20"/>
                <w:szCs w:val="20"/>
                <w:lang w:val="en-GB"/>
              </w:rPr>
              <w:t>One-page abbreviated CV</w:t>
            </w:r>
            <w:r w:rsidRPr="007E54C3">
              <w:rPr>
                <w:color w:val="1E2921"/>
                <w:sz w:val="20"/>
                <w:szCs w:val="20"/>
                <w:lang w:val="en-GB"/>
              </w:rPr>
              <w:t>,</w:t>
            </w:r>
            <w:r w:rsidRPr="00271BC6">
              <w:rPr>
                <w:color w:val="1E2921"/>
                <w:sz w:val="20"/>
                <w:szCs w:val="20"/>
                <w:lang w:val="en-GB"/>
              </w:rPr>
              <w:t xml:space="preserve"> including:</w:t>
            </w:r>
          </w:p>
          <w:p w14:paraId="2E18E03C" w14:textId="77777777" w:rsidR="008F14B7" w:rsidRPr="00DA0CC4" w:rsidRDefault="008F14B7" w:rsidP="008F14B7">
            <w:pPr>
              <w:pStyle w:val="ListParagraph"/>
              <w:numPr>
                <w:ilvl w:val="0"/>
                <w:numId w:val="2"/>
              </w:numPr>
              <w:spacing w:after="0" w:line="240" w:lineRule="auto"/>
              <w:ind w:left="459" w:hanging="459"/>
              <w:jc w:val="both"/>
              <w:rPr>
                <w:color w:val="1E2921"/>
                <w:sz w:val="20"/>
                <w:szCs w:val="20"/>
                <w:lang w:val="en-GB"/>
              </w:rPr>
            </w:pPr>
            <w:r w:rsidRPr="00271BC6">
              <w:rPr>
                <w:color w:val="1E2921"/>
                <w:sz w:val="20"/>
                <w:szCs w:val="20"/>
                <w:lang w:val="en-GB"/>
              </w:rPr>
              <w:t xml:space="preserve">Academic qualifications (including when and where obtained, title and abstract of research project, </w:t>
            </w:r>
            <w:r w:rsidRPr="007E54C3">
              <w:rPr>
                <w:color w:val="1E2921"/>
                <w:sz w:val="20"/>
                <w:szCs w:val="20"/>
                <w:lang w:val="en-GB"/>
              </w:rPr>
              <w:t xml:space="preserve">and the </w:t>
            </w:r>
            <w:r w:rsidRPr="00DA0CC4">
              <w:rPr>
                <w:color w:val="1E2921"/>
                <w:sz w:val="20"/>
                <w:szCs w:val="20"/>
                <w:lang w:val="en-GB"/>
              </w:rPr>
              <w:t>names and affiliation of supervisors involved)</w:t>
            </w:r>
          </w:p>
          <w:p w14:paraId="0B5F1FE3" w14:textId="77777777" w:rsidR="008F14B7" w:rsidRPr="00DA0CC4" w:rsidRDefault="008F14B7" w:rsidP="008F14B7">
            <w:pPr>
              <w:pStyle w:val="ListParagraph"/>
              <w:numPr>
                <w:ilvl w:val="0"/>
                <w:numId w:val="2"/>
              </w:numPr>
              <w:spacing w:after="0" w:line="240" w:lineRule="auto"/>
              <w:ind w:left="459" w:hanging="459"/>
              <w:jc w:val="both"/>
              <w:rPr>
                <w:color w:val="1E2921"/>
                <w:sz w:val="20"/>
                <w:szCs w:val="20"/>
                <w:lang w:val="en-GB"/>
              </w:rPr>
            </w:pPr>
            <w:r w:rsidRPr="00DA0CC4">
              <w:rPr>
                <w:color w:val="1E2921"/>
                <w:sz w:val="20"/>
                <w:szCs w:val="20"/>
                <w:lang w:val="en-GB"/>
              </w:rPr>
              <w:t>Work experience</w:t>
            </w:r>
          </w:p>
          <w:p w14:paraId="5B5702E2" w14:textId="77777777" w:rsidR="008F14B7" w:rsidRPr="00DA0CC4" w:rsidRDefault="008F14B7" w:rsidP="008F14B7">
            <w:pPr>
              <w:pStyle w:val="ListParagraph"/>
              <w:numPr>
                <w:ilvl w:val="0"/>
                <w:numId w:val="2"/>
              </w:numPr>
              <w:spacing w:after="0" w:line="240" w:lineRule="auto"/>
              <w:ind w:left="459" w:hanging="459"/>
              <w:jc w:val="both"/>
              <w:rPr>
                <w:color w:val="1E2921"/>
                <w:sz w:val="20"/>
                <w:szCs w:val="20"/>
                <w:lang w:val="en-GB"/>
              </w:rPr>
            </w:pPr>
            <w:r w:rsidRPr="00DA0CC4">
              <w:rPr>
                <w:color w:val="1E2921"/>
                <w:sz w:val="20"/>
                <w:szCs w:val="20"/>
                <w:lang w:val="en-GB"/>
              </w:rPr>
              <w:t>Contact details</w:t>
            </w:r>
          </w:p>
          <w:p w14:paraId="34167384" w14:textId="77777777" w:rsidR="008F14B7" w:rsidRPr="00DA0CC4" w:rsidRDefault="008F14B7" w:rsidP="008F14B7">
            <w:pPr>
              <w:pStyle w:val="ListParagraph"/>
              <w:numPr>
                <w:ilvl w:val="0"/>
                <w:numId w:val="2"/>
              </w:numPr>
              <w:spacing w:after="0" w:line="240" w:lineRule="auto"/>
              <w:ind w:left="459" w:hanging="459"/>
              <w:jc w:val="both"/>
              <w:rPr>
                <w:color w:val="1E2921"/>
                <w:sz w:val="20"/>
                <w:szCs w:val="20"/>
                <w:lang w:val="en-GB"/>
              </w:rPr>
            </w:pPr>
            <w:r w:rsidRPr="00DA0CC4">
              <w:rPr>
                <w:color w:val="1E2921"/>
                <w:sz w:val="20"/>
                <w:szCs w:val="20"/>
                <w:lang w:val="en-GB"/>
              </w:rPr>
              <w:t>Expression of interest (see selection criteria)</w:t>
            </w:r>
          </w:p>
          <w:p w14:paraId="5C5A5981" w14:textId="77777777" w:rsidR="008F14B7" w:rsidRPr="00271BC6" w:rsidRDefault="008F14B7" w:rsidP="008F14B7">
            <w:pPr>
              <w:pStyle w:val="ListParagraph"/>
              <w:numPr>
                <w:ilvl w:val="0"/>
                <w:numId w:val="2"/>
              </w:numPr>
              <w:spacing w:after="0" w:line="240" w:lineRule="auto"/>
              <w:ind w:left="459" w:hanging="459"/>
              <w:jc w:val="both"/>
              <w:rPr>
                <w:color w:val="1E2921"/>
                <w:sz w:val="20"/>
                <w:szCs w:val="20"/>
                <w:lang w:val="en-GB"/>
              </w:rPr>
            </w:pPr>
            <w:r w:rsidRPr="00DA0CC4">
              <w:rPr>
                <w:color w:val="1E2921"/>
                <w:sz w:val="20"/>
                <w:szCs w:val="20"/>
                <w:lang w:val="en-GB"/>
              </w:rPr>
              <w:t>Previous research</w:t>
            </w:r>
          </w:p>
        </w:tc>
      </w:tr>
      <w:tr w:rsidR="008F14B7" w:rsidRPr="00271BC6" w14:paraId="2501EA28" w14:textId="77777777" w:rsidTr="00446B15">
        <w:trPr>
          <w:trHeight w:val="276"/>
        </w:trPr>
        <w:tc>
          <w:tcPr>
            <w:tcW w:w="2547" w:type="dxa"/>
            <w:shd w:val="clear" w:color="auto" w:fill="auto"/>
          </w:tcPr>
          <w:p w14:paraId="5E875190" w14:textId="77777777" w:rsidR="008F14B7" w:rsidRPr="00DA0CC4" w:rsidRDefault="008F14B7" w:rsidP="008F14B7">
            <w:pPr>
              <w:spacing w:after="0" w:line="240" w:lineRule="auto"/>
              <w:rPr>
                <w:b/>
                <w:bCs/>
                <w:sz w:val="20"/>
                <w:szCs w:val="20"/>
                <w:lang w:val="en-GB"/>
              </w:rPr>
            </w:pPr>
            <w:r w:rsidRPr="00271BC6">
              <w:rPr>
                <w:b/>
                <w:bCs/>
                <w:sz w:val="20"/>
                <w:szCs w:val="20"/>
                <w:lang w:val="en-GB"/>
              </w:rPr>
              <w:t xml:space="preserve">Research </w:t>
            </w:r>
            <w:r w:rsidRPr="007E54C3">
              <w:rPr>
                <w:b/>
                <w:bCs/>
                <w:sz w:val="20"/>
                <w:szCs w:val="20"/>
                <w:lang w:val="en-GB"/>
              </w:rPr>
              <w:t>A</w:t>
            </w:r>
            <w:r w:rsidRPr="00271BC6">
              <w:rPr>
                <w:b/>
                <w:bCs/>
                <w:sz w:val="20"/>
                <w:szCs w:val="20"/>
                <w:lang w:val="en-GB"/>
              </w:rPr>
              <w:t>genda</w:t>
            </w:r>
          </w:p>
        </w:tc>
        <w:tc>
          <w:tcPr>
            <w:tcW w:w="6695" w:type="dxa"/>
            <w:gridSpan w:val="2"/>
            <w:shd w:val="clear" w:color="auto" w:fill="auto"/>
          </w:tcPr>
          <w:p w14:paraId="0850F634" w14:textId="77777777" w:rsidR="008F14B7" w:rsidRPr="00271BC6" w:rsidRDefault="008F14B7" w:rsidP="008F14B7">
            <w:pPr>
              <w:pStyle w:val="BodyText"/>
              <w:rPr>
                <w:rFonts w:ascii="Calibri" w:hAnsi="Calibri" w:cs="Arial"/>
                <w:sz w:val="20"/>
                <w:lang w:val="en-GB"/>
              </w:rPr>
            </w:pPr>
            <w:r>
              <w:rPr>
                <w:rFonts w:ascii="Calibri" w:hAnsi="Calibri" w:cs="Arial"/>
                <w:sz w:val="20"/>
                <w:lang w:val="en-GB"/>
              </w:rPr>
              <w:t xml:space="preserve">This area of specialisation is not only broad, but extensive as well. The main objectives are to uncover the practical implications of instruments of trade promotion/restrictions across international borders, especially on the macroeconomic fundamentals of host/home countries of the multinational corporations (MNCs). The field also focusses on the practical effects of institutional framework and socioeconomic dynamics of countries on their attractiveness to investment, bilateral and multilateral trading arrangements. Another important objective is to uncover the behaviour of multinational corporations to capital market dynamics of the host economies. The objectives also cover the investigation of institutional environment as regards the expansion strategies of multinational corporations as well as capital market behaviour in African countries and other emerging economies.   </w:t>
            </w:r>
          </w:p>
        </w:tc>
      </w:tr>
      <w:tr w:rsidR="008F14B7" w:rsidRPr="00DA0CC4" w14:paraId="64DDD555" w14:textId="77777777" w:rsidTr="00446B15">
        <w:trPr>
          <w:trHeight w:val="276"/>
        </w:trPr>
        <w:tc>
          <w:tcPr>
            <w:tcW w:w="2547" w:type="dxa"/>
            <w:shd w:val="clear" w:color="auto" w:fill="auto"/>
          </w:tcPr>
          <w:p w14:paraId="5580BC06" w14:textId="77777777" w:rsidR="008F14B7" w:rsidRPr="00271BC6" w:rsidRDefault="008F14B7" w:rsidP="008F14B7">
            <w:pPr>
              <w:spacing w:after="0" w:line="240" w:lineRule="auto"/>
              <w:rPr>
                <w:b/>
                <w:bCs/>
                <w:sz w:val="20"/>
                <w:szCs w:val="20"/>
                <w:lang w:val="en-GB"/>
              </w:rPr>
            </w:pPr>
            <w:r w:rsidRPr="00271BC6">
              <w:rPr>
                <w:b/>
                <w:bCs/>
                <w:sz w:val="20"/>
                <w:szCs w:val="20"/>
                <w:lang w:val="en-GB"/>
              </w:rPr>
              <w:t>Reading: Subject Field</w:t>
            </w:r>
          </w:p>
          <w:p w14:paraId="46BA148F" w14:textId="77777777" w:rsidR="008F14B7" w:rsidRPr="00271BC6" w:rsidRDefault="008F14B7" w:rsidP="008F14B7">
            <w:pPr>
              <w:spacing w:after="0" w:line="240" w:lineRule="auto"/>
              <w:rPr>
                <w:sz w:val="20"/>
                <w:szCs w:val="20"/>
                <w:lang w:val="en-GB"/>
              </w:rPr>
            </w:pPr>
          </w:p>
        </w:tc>
        <w:tc>
          <w:tcPr>
            <w:tcW w:w="6695" w:type="dxa"/>
            <w:gridSpan w:val="2"/>
            <w:shd w:val="clear" w:color="auto" w:fill="auto"/>
          </w:tcPr>
          <w:p w14:paraId="6BB39EBE" w14:textId="0A2472CA" w:rsidR="008F14B7" w:rsidRPr="00357599" w:rsidRDefault="008F14B7" w:rsidP="008F14B7">
            <w:pPr>
              <w:spacing w:after="0" w:line="240" w:lineRule="auto"/>
              <w:rPr>
                <w:sz w:val="20"/>
                <w:szCs w:val="20"/>
                <w:lang w:val="en-GB"/>
              </w:rPr>
            </w:pPr>
            <w:r w:rsidRPr="00271BC6">
              <w:rPr>
                <w:sz w:val="20"/>
                <w:szCs w:val="20"/>
                <w:lang w:val="en-GB"/>
              </w:rPr>
              <w:t>Below</w:t>
            </w:r>
            <w:r>
              <w:rPr>
                <w:sz w:val="20"/>
                <w:szCs w:val="20"/>
                <w:lang w:val="en-GB"/>
              </w:rPr>
              <w:t>, please find a few</w:t>
            </w:r>
            <w:r w:rsidRPr="00271BC6">
              <w:rPr>
                <w:sz w:val="20"/>
                <w:szCs w:val="20"/>
                <w:lang w:val="en-GB"/>
              </w:rPr>
              <w:t xml:space="preserve"> suggested general reading</w:t>
            </w:r>
            <w:r w:rsidRPr="007E54C3">
              <w:rPr>
                <w:sz w:val="20"/>
                <w:szCs w:val="20"/>
                <w:lang w:val="en-GB"/>
              </w:rPr>
              <w:t xml:space="preserve"> materials</w:t>
            </w:r>
            <w:r w:rsidRPr="00271BC6">
              <w:rPr>
                <w:sz w:val="20"/>
                <w:szCs w:val="20"/>
                <w:lang w:val="en-GB"/>
              </w:rPr>
              <w:t xml:space="preserve"> </w:t>
            </w:r>
            <w:r w:rsidRPr="007E54C3">
              <w:rPr>
                <w:sz w:val="20"/>
                <w:szCs w:val="20"/>
                <w:lang w:val="en-GB"/>
              </w:rPr>
              <w:t>o</w:t>
            </w:r>
            <w:r w:rsidRPr="00271BC6">
              <w:rPr>
                <w:sz w:val="20"/>
                <w:szCs w:val="20"/>
                <w:lang w:val="en-GB"/>
              </w:rPr>
              <w:t xml:space="preserve">n </w:t>
            </w:r>
            <w:r>
              <w:rPr>
                <w:sz w:val="20"/>
                <w:szCs w:val="20"/>
                <w:lang w:val="en-GB"/>
              </w:rPr>
              <w:t>this subject field.</w:t>
            </w:r>
            <w:r w:rsidRPr="00271BC6">
              <w:rPr>
                <w:sz w:val="20"/>
                <w:szCs w:val="20"/>
                <w:lang w:val="en-GB"/>
              </w:rPr>
              <w:t xml:space="preserve"> </w:t>
            </w:r>
            <w:r w:rsidRPr="007E54C3">
              <w:rPr>
                <w:sz w:val="20"/>
                <w:szCs w:val="20"/>
                <w:lang w:val="en-GB"/>
              </w:rPr>
              <w:t xml:space="preserve">Students </w:t>
            </w:r>
            <w:r>
              <w:rPr>
                <w:sz w:val="20"/>
                <w:szCs w:val="20"/>
                <w:lang w:val="en-GB"/>
              </w:rPr>
              <w:t xml:space="preserve">will have to supplement this list </w:t>
            </w:r>
            <w:r w:rsidRPr="00271BC6">
              <w:rPr>
                <w:sz w:val="20"/>
                <w:szCs w:val="20"/>
                <w:lang w:val="en-GB"/>
              </w:rPr>
              <w:t>with more specific journal articles and books</w:t>
            </w:r>
            <w:r w:rsidRPr="007E54C3">
              <w:rPr>
                <w:sz w:val="20"/>
                <w:szCs w:val="20"/>
                <w:lang w:val="en-GB"/>
              </w:rPr>
              <w:t xml:space="preserve"> </w:t>
            </w:r>
            <w:r>
              <w:rPr>
                <w:sz w:val="20"/>
                <w:szCs w:val="20"/>
                <w:lang w:val="en-GB"/>
              </w:rPr>
              <w:t xml:space="preserve">that are </w:t>
            </w:r>
            <w:r w:rsidRPr="00271BC6">
              <w:rPr>
                <w:sz w:val="20"/>
                <w:szCs w:val="20"/>
                <w:lang w:val="en-GB"/>
              </w:rPr>
              <w:t xml:space="preserve">pertinent to </w:t>
            </w:r>
            <w:r w:rsidRPr="007E54C3">
              <w:rPr>
                <w:sz w:val="20"/>
                <w:szCs w:val="20"/>
                <w:lang w:val="en-GB"/>
              </w:rPr>
              <w:t>their</w:t>
            </w:r>
            <w:r w:rsidRPr="00271BC6">
              <w:rPr>
                <w:sz w:val="20"/>
                <w:szCs w:val="20"/>
                <w:lang w:val="en-GB"/>
              </w:rPr>
              <w:t xml:space="preserve"> research topic</w:t>
            </w:r>
            <w:r w:rsidRPr="007E54C3">
              <w:rPr>
                <w:sz w:val="20"/>
                <w:szCs w:val="20"/>
                <w:lang w:val="en-GB"/>
              </w:rPr>
              <w:t>s</w:t>
            </w:r>
            <w:r>
              <w:rPr>
                <w:sz w:val="20"/>
                <w:szCs w:val="20"/>
                <w:lang w:val="en-GB"/>
              </w:rPr>
              <w:t>. Currency is of utmost importance in academic writing</w:t>
            </w:r>
            <w:r w:rsidRPr="00271BC6">
              <w:rPr>
                <w:sz w:val="20"/>
                <w:szCs w:val="20"/>
                <w:lang w:val="en-GB"/>
              </w:rPr>
              <w:t>:</w:t>
            </w:r>
          </w:p>
        </w:tc>
      </w:tr>
      <w:tr w:rsidR="008F14B7" w:rsidRPr="00315E16" w14:paraId="4459CF5E" w14:textId="77777777" w:rsidTr="00446B15">
        <w:trPr>
          <w:trHeight w:val="276"/>
        </w:trPr>
        <w:tc>
          <w:tcPr>
            <w:tcW w:w="2547" w:type="dxa"/>
            <w:shd w:val="clear" w:color="auto" w:fill="auto"/>
          </w:tcPr>
          <w:p w14:paraId="2D4E16E4" w14:textId="77777777" w:rsidR="008F14B7" w:rsidRPr="00315E16" w:rsidRDefault="008F14B7" w:rsidP="008F14B7">
            <w:pPr>
              <w:spacing w:after="0" w:line="240" w:lineRule="auto"/>
              <w:rPr>
                <w:b/>
                <w:bCs/>
                <w:sz w:val="20"/>
                <w:szCs w:val="20"/>
                <w:lang w:val="en-GB"/>
              </w:rPr>
            </w:pPr>
            <w:r w:rsidRPr="00315E16">
              <w:rPr>
                <w:b/>
                <w:bCs/>
                <w:sz w:val="20"/>
                <w:szCs w:val="20"/>
                <w:lang w:val="en-GB"/>
              </w:rPr>
              <w:t xml:space="preserve">Reading: </w:t>
            </w:r>
          </w:p>
          <w:p w14:paraId="27D0E9B8" w14:textId="77777777" w:rsidR="008F14B7" w:rsidRPr="00315E16" w:rsidRDefault="008F14B7" w:rsidP="008F14B7">
            <w:pPr>
              <w:spacing w:after="0" w:line="240" w:lineRule="auto"/>
              <w:rPr>
                <w:sz w:val="20"/>
                <w:szCs w:val="20"/>
                <w:lang w:val="en-GB"/>
              </w:rPr>
            </w:pPr>
            <w:r w:rsidRPr="00315E16">
              <w:rPr>
                <w:b/>
                <w:bCs/>
                <w:sz w:val="20"/>
                <w:szCs w:val="20"/>
                <w:lang w:val="en-GB"/>
              </w:rPr>
              <w:t>Research</w:t>
            </w:r>
            <w:r w:rsidRPr="007E54C3">
              <w:rPr>
                <w:b/>
                <w:bCs/>
                <w:sz w:val="20"/>
                <w:szCs w:val="20"/>
                <w:lang w:val="en-GB"/>
              </w:rPr>
              <w:t xml:space="preserve"> </w:t>
            </w:r>
            <w:r w:rsidRPr="00315E16">
              <w:rPr>
                <w:b/>
                <w:bCs/>
                <w:sz w:val="20"/>
                <w:szCs w:val="20"/>
                <w:lang w:val="en-GB"/>
              </w:rPr>
              <w:t>Methodology</w:t>
            </w:r>
          </w:p>
        </w:tc>
        <w:tc>
          <w:tcPr>
            <w:tcW w:w="6695" w:type="dxa"/>
            <w:gridSpan w:val="2"/>
            <w:shd w:val="clear" w:color="auto" w:fill="auto"/>
          </w:tcPr>
          <w:p w14:paraId="14A2F6DD" w14:textId="77777777" w:rsidR="008F14B7" w:rsidRDefault="008F14B7" w:rsidP="008F14B7">
            <w:pPr>
              <w:numPr>
                <w:ilvl w:val="0"/>
                <w:numId w:val="4"/>
              </w:numPr>
              <w:autoSpaceDE w:val="0"/>
              <w:autoSpaceDN w:val="0"/>
              <w:adjustRightInd w:val="0"/>
              <w:spacing w:after="0" w:line="240" w:lineRule="auto"/>
              <w:ind w:left="350"/>
              <w:jc w:val="both"/>
              <w:rPr>
                <w:color w:val="000000"/>
                <w:sz w:val="20"/>
                <w:szCs w:val="20"/>
                <w:lang w:val="en-GB"/>
              </w:rPr>
            </w:pPr>
            <w:r w:rsidRPr="00E82636">
              <w:rPr>
                <w:color w:val="000000"/>
                <w:sz w:val="20"/>
                <w:szCs w:val="20"/>
                <w:lang w:val="en-GB"/>
              </w:rPr>
              <w:t>Arellano, M., and Bover, O. 1995. Another look at the instrumental variable Estimation of error-components models. Journal of econometrics, 68(1): 29-51.</w:t>
            </w:r>
          </w:p>
          <w:p w14:paraId="4AE5268B" w14:textId="77777777" w:rsidR="008F14B7" w:rsidRDefault="008F14B7" w:rsidP="008F14B7">
            <w:pPr>
              <w:numPr>
                <w:ilvl w:val="0"/>
                <w:numId w:val="4"/>
              </w:numPr>
              <w:autoSpaceDE w:val="0"/>
              <w:autoSpaceDN w:val="0"/>
              <w:adjustRightInd w:val="0"/>
              <w:spacing w:after="0" w:line="240" w:lineRule="auto"/>
              <w:ind w:left="350"/>
              <w:jc w:val="both"/>
              <w:rPr>
                <w:color w:val="000000"/>
                <w:sz w:val="20"/>
                <w:szCs w:val="20"/>
                <w:lang w:val="en-GB"/>
              </w:rPr>
            </w:pPr>
            <w:r w:rsidRPr="00357599">
              <w:rPr>
                <w:color w:val="000000"/>
                <w:sz w:val="20"/>
                <w:szCs w:val="20"/>
                <w:lang w:val="en-GB"/>
              </w:rPr>
              <w:t>Hayakawa, K. (2009). First Difference or Forward Orthogonal Deviation - Which Transformation should be used in Dynamic Panel Data Models? A Simulation Study. Journal of Economics Bulletin, vol. 29</w:t>
            </w:r>
            <w:r>
              <w:rPr>
                <w:color w:val="000000"/>
                <w:sz w:val="20"/>
                <w:szCs w:val="20"/>
                <w:lang w:val="en-GB"/>
              </w:rPr>
              <w:t>(</w:t>
            </w:r>
            <w:r w:rsidRPr="00357599">
              <w:rPr>
                <w:color w:val="000000"/>
                <w:sz w:val="20"/>
                <w:szCs w:val="20"/>
                <w:lang w:val="en-GB"/>
              </w:rPr>
              <w:t>3</w:t>
            </w:r>
            <w:r>
              <w:rPr>
                <w:color w:val="000000"/>
                <w:sz w:val="20"/>
                <w:szCs w:val="20"/>
                <w:lang w:val="en-GB"/>
              </w:rPr>
              <w:t>):</w:t>
            </w:r>
            <w:r w:rsidRPr="00357599">
              <w:rPr>
                <w:color w:val="000000"/>
                <w:sz w:val="20"/>
                <w:szCs w:val="20"/>
                <w:lang w:val="en-GB"/>
              </w:rPr>
              <w:t xml:space="preserve"> 2008-2017.</w:t>
            </w:r>
          </w:p>
          <w:p w14:paraId="54048D6B" w14:textId="77777777" w:rsidR="008F14B7" w:rsidRDefault="008F14B7" w:rsidP="008F14B7">
            <w:pPr>
              <w:numPr>
                <w:ilvl w:val="0"/>
                <w:numId w:val="4"/>
              </w:numPr>
              <w:autoSpaceDE w:val="0"/>
              <w:autoSpaceDN w:val="0"/>
              <w:adjustRightInd w:val="0"/>
              <w:spacing w:after="0" w:line="240" w:lineRule="auto"/>
              <w:ind w:left="350" w:hanging="350"/>
              <w:jc w:val="both"/>
              <w:rPr>
                <w:color w:val="000000"/>
                <w:sz w:val="20"/>
                <w:szCs w:val="20"/>
                <w:lang w:val="en-GB"/>
              </w:rPr>
            </w:pPr>
            <w:r w:rsidRPr="00357599">
              <w:rPr>
                <w:color w:val="000000"/>
                <w:sz w:val="20"/>
                <w:szCs w:val="20"/>
                <w:lang w:val="en-GB"/>
              </w:rPr>
              <w:t>Hsiao, C. (2003). Analysis of Panel Data. Second edition, Cambridge, Cambridge University Press</w:t>
            </w:r>
          </w:p>
          <w:p w14:paraId="4DB2236D" w14:textId="77777777" w:rsidR="008F14B7" w:rsidRDefault="008F14B7" w:rsidP="008F14B7">
            <w:pPr>
              <w:numPr>
                <w:ilvl w:val="0"/>
                <w:numId w:val="4"/>
              </w:numPr>
              <w:autoSpaceDE w:val="0"/>
              <w:autoSpaceDN w:val="0"/>
              <w:adjustRightInd w:val="0"/>
              <w:spacing w:after="0" w:line="240" w:lineRule="auto"/>
              <w:ind w:left="350" w:hanging="350"/>
              <w:jc w:val="both"/>
              <w:rPr>
                <w:color w:val="000000"/>
                <w:sz w:val="20"/>
                <w:szCs w:val="20"/>
                <w:lang w:val="en-GB"/>
              </w:rPr>
            </w:pPr>
            <w:r w:rsidRPr="00357599">
              <w:rPr>
                <w:color w:val="000000"/>
                <w:sz w:val="20"/>
                <w:szCs w:val="20"/>
                <w:lang w:val="en-GB"/>
              </w:rPr>
              <w:t>Levin, A., Lin, C. and Chu, C-J. (2002). Unit Root Tests in Panel Data: Asymptotic and Finite-sample Properties. Journal of Econometrics, vol. 108, no.1. pp. 1–24.</w:t>
            </w:r>
          </w:p>
          <w:p w14:paraId="4605F978" w14:textId="77777777" w:rsidR="008F14B7" w:rsidRDefault="008F14B7" w:rsidP="008F14B7">
            <w:pPr>
              <w:numPr>
                <w:ilvl w:val="0"/>
                <w:numId w:val="4"/>
              </w:numPr>
              <w:autoSpaceDE w:val="0"/>
              <w:autoSpaceDN w:val="0"/>
              <w:adjustRightInd w:val="0"/>
              <w:spacing w:after="0" w:line="240" w:lineRule="auto"/>
              <w:ind w:left="461" w:hanging="461"/>
              <w:jc w:val="both"/>
              <w:rPr>
                <w:color w:val="000000"/>
                <w:sz w:val="20"/>
                <w:szCs w:val="20"/>
                <w:lang w:val="en-GB"/>
              </w:rPr>
            </w:pPr>
            <w:proofErr w:type="spellStart"/>
            <w:r w:rsidRPr="00357599">
              <w:rPr>
                <w:color w:val="000000"/>
                <w:sz w:val="20"/>
                <w:szCs w:val="20"/>
                <w:lang w:val="en-GB"/>
              </w:rPr>
              <w:t>Pesaran</w:t>
            </w:r>
            <w:proofErr w:type="spellEnd"/>
            <w:r w:rsidRPr="00357599">
              <w:rPr>
                <w:color w:val="000000"/>
                <w:sz w:val="20"/>
                <w:szCs w:val="20"/>
                <w:lang w:val="en-GB"/>
              </w:rPr>
              <w:t>, M. H. (2007). A Simple Panel Unit Root Test in the Presence of Cross Section Dependence. Journal of Applied Econometrics, vol. 27, no.1. pp. 265-312.</w:t>
            </w:r>
          </w:p>
          <w:p w14:paraId="6E404782" w14:textId="77777777" w:rsidR="008F14B7" w:rsidRDefault="008F14B7" w:rsidP="008F14B7">
            <w:pPr>
              <w:numPr>
                <w:ilvl w:val="0"/>
                <w:numId w:val="4"/>
              </w:numPr>
              <w:autoSpaceDE w:val="0"/>
              <w:autoSpaceDN w:val="0"/>
              <w:adjustRightInd w:val="0"/>
              <w:spacing w:after="0" w:line="240" w:lineRule="auto"/>
              <w:ind w:left="459" w:hanging="459"/>
              <w:jc w:val="both"/>
              <w:rPr>
                <w:color w:val="000000"/>
                <w:sz w:val="20"/>
                <w:szCs w:val="20"/>
                <w:lang w:val="en-GB"/>
              </w:rPr>
            </w:pPr>
            <w:r w:rsidRPr="00315E16">
              <w:rPr>
                <w:color w:val="000000"/>
                <w:sz w:val="20"/>
                <w:szCs w:val="20"/>
                <w:lang w:val="en-GB"/>
              </w:rPr>
              <w:t xml:space="preserve">Hofstee, E. 2006. </w:t>
            </w:r>
            <w:r w:rsidRPr="00315E16">
              <w:rPr>
                <w:i/>
                <w:color w:val="000000"/>
                <w:sz w:val="20"/>
                <w:szCs w:val="20"/>
                <w:lang w:val="en-GB"/>
              </w:rPr>
              <w:t xml:space="preserve">Constructing a good dissertation: A practical guide to finishing a master’s, </w:t>
            </w:r>
            <w:proofErr w:type="gramStart"/>
            <w:r w:rsidRPr="00315E16">
              <w:rPr>
                <w:i/>
                <w:color w:val="000000"/>
                <w:sz w:val="20"/>
                <w:szCs w:val="20"/>
                <w:lang w:val="en-GB"/>
              </w:rPr>
              <w:t>MBA</w:t>
            </w:r>
            <w:proofErr w:type="gramEnd"/>
            <w:r w:rsidRPr="00315E16">
              <w:rPr>
                <w:i/>
                <w:color w:val="000000"/>
                <w:sz w:val="20"/>
                <w:szCs w:val="20"/>
                <w:lang w:val="en-GB"/>
              </w:rPr>
              <w:t xml:space="preserve"> or PhD on schedule</w:t>
            </w:r>
            <w:r w:rsidRPr="00315E16">
              <w:rPr>
                <w:color w:val="000000"/>
                <w:sz w:val="20"/>
                <w:szCs w:val="20"/>
                <w:lang w:val="en-GB"/>
              </w:rPr>
              <w:t xml:space="preserve">. EPE Publishers. </w:t>
            </w:r>
          </w:p>
          <w:p w14:paraId="33043B0A"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sidRPr="00315E16">
              <w:rPr>
                <w:sz w:val="20"/>
                <w:szCs w:val="20"/>
                <w:lang w:val="en-GB"/>
              </w:rPr>
              <w:t xml:space="preserve">Vital, R. </w:t>
            </w:r>
            <w:r w:rsidRPr="007E54C3">
              <w:rPr>
                <w:sz w:val="20"/>
                <w:szCs w:val="20"/>
                <w:lang w:val="en-GB"/>
              </w:rPr>
              <w:t xml:space="preserve">&amp; </w:t>
            </w:r>
            <w:r w:rsidRPr="00315E16">
              <w:rPr>
                <w:sz w:val="20"/>
                <w:szCs w:val="20"/>
                <w:lang w:val="en-GB"/>
              </w:rPr>
              <w:t xml:space="preserve">Jansen, J. 2010. </w:t>
            </w:r>
            <w:r w:rsidRPr="00315E16">
              <w:rPr>
                <w:i/>
                <w:sz w:val="20"/>
                <w:szCs w:val="20"/>
                <w:lang w:val="en-GB"/>
              </w:rPr>
              <w:t xml:space="preserve">Designing your first </w:t>
            </w:r>
            <w:r w:rsidRPr="007E54C3">
              <w:rPr>
                <w:i/>
                <w:sz w:val="20"/>
                <w:szCs w:val="20"/>
                <w:lang w:val="en-GB"/>
              </w:rPr>
              <w:t>r</w:t>
            </w:r>
            <w:r w:rsidRPr="00315E16">
              <w:rPr>
                <w:i/>
                <w:sz w:val="20"/>
                <w:szCs w:val="20"/>
                <w:lang w:val="en-GB"/>
              </w:rPr>
              <w:t xml:space="preserve">esearch </w:t>
            </w:r>
            <w:r w:rsidRPr="007E54C3">
              <w:rPr>
                <w:i/>
                <w:sz w:val="20"/>
                <w:szCs w:val="20"/>
                <w:lang w:val="en-GB"/>
              </w:rPr>
              <w:t>p</w:t>
            </w:r>
            <w:r w:rsidRPr="00315E16">
              <w:rPr>
                <w:i/>
                <w:sz w:val="20"/>
                <w:szCs w:val="20"/>
                <w:lang w:val="en-GB"/>
              </w:rPr>
              <w:t xml:space="preserve">roposal: A manual for researchers in </w:t>
            </w:r>
            <w:r w:rsidRPr="007E54C3">
              <w:rPr>
                <w:i/>
                <w:sz w:val="20"/>
                <w:szCs w:val="20"/>
                <w:lang w:val="en-GB"/>
              </w:rPr>
              <w:t>e</w:t>
            </w:r>
            <w:r w:rsidRPr="00315E16">
              <w:rPr>
                <w:i/>
                <w:sz w:val="20"/>
                <w:szCs w:val="20"/>
                <w:lang w:val="en-GB"/>
              </w:rPr>
              <w:t xml:space="preserve">ducation and the </w:t>
            </w:r>
            <w:r w:rsidRPr="007E54C3">
              <w:rPr>
                <w:i/>
                <w:sz w:val="20"/>
                <w:szCs w:val="20"/>
                <w:lang w:val="en-GB"/>
              </w:rPr>
              <w:t>s</w:t>
            </w:r>
            <w:r w:rsidRPr="00315E16">
              <w:rPr>
                <w:i/>
                <w:sz w:val="20"/>
                <w:szCs w:val="20"/>
                <w:lang w:val="en-GB"/>
              </w:rPr>
              <w:t xml:space="preserve">ocial </w:t>
            </w:r>
            <w:r w:rsidRPr="007E54C3">
              <w:rPr>
                <w:i/>
                <w:sz w:val="20"/>
                <w:szCs w:val="20"/>
                <w:lang w:val="en-GB"/>
              </w:rPr>
              <w:t>s</w:t>
            </w:r>
            <w:r w:rsidRPr="00315E16">
              <w:rPr>
                <w:i/>
                <w:sz w:val="20"/>
                <w:szCs w:val="20"/>
                <w:lang w:val="en-GB"/>
              </w:rPr>
              <w:t>ciences</w:t>
            </w:r>
            <w:r w:rsidRPr="00315E16">
              <w:rPr>
                <w:sz w:val="20"/>
                <w:szCs w:val="20"/>
                <w:lang w:val="en-GB"/>
              </w:rPr>
              <w:t xml:space="preserve">. Rev </w:t>
            </w:r>
            <w:r w:rsidRPr="007E54C3">
              <w:rPr>
                <w:sz w:val="20"/>
                <w:szCs w:val="20"/>
                <w:lang w:val="en-GB"/>
              </w:rPr>
              <w:t>edition</w:t>
            </w:r>
            <w:r w:rsidRPr="00315E16">
              <w:rPr>
                <w:sz w:val="20"/>
                <w:szCs w:val="20"/>
                <w:lang w:val="en-GB"/>
              </w:rPr>
              <w:t>. Lansdowne: Juta. </w:t>
            </w:r>
          </w:p>
        </w:tc>
      </w:tr>
      <w:tr w:rsidR="008F14B7" w:rsidRPr="00315E16" w14:paraId="14EBB2FE" w14:textId="77777777" w:rsidTr="00446B15">
        <w:trPr>
          <w:trHeight w:val="276"/>
        </w:trPr>
        <w:tc>
          <w:tcPr>
            <w:tcW w:w="2547" w:type="dxa"/>
            <w:shd w:val="clear" w:color="auto" w:fill="auto"/>
          </w:tcPr>
          <w:p w14:paraId="44750FBB" w14:textId="77777777" w:rsidR="008F14B7" w:rsidRPr="00315E16" w:rsidRDefault="008F14B7" w:rsidP="008F14B7">
            <w:pPr>
              <w:spacing w:after="0" w:line="240" w:lineRule="auto"/>
              <w:rPr>
                <w:b/>
                <w:bCs/>
                <w:sz w:val="20"/>
                <w:szCs w:val="20"/>
                <w:lang w:val="en-GB"/>
              </w:rPr>
            </w:pPr>
            <w:r w:rsidRPr="00315E16">
              <w:rPr>
                <w:b/>
                <w:bCs/>
                <w:sz w:val="20"/>
                <w:szCs w:val="20"/>
                <w:lang w:val="en-GB"/>
              </w:rPr>
              <w:t xml:space="preserve">Resources: </w:t>
            </w:r>
          </w:p>
          <w:p w14:paraId="59E956D1" w14:textId="77777777" w:rsidR="008F14B7" w:rsidRPr="00315E16" w:rsidRDefault="008F14B7" w:rsidP="008F14B7">
            <w:pPr>
              <w:spacing w:after="0" w:line="240" w:lineRule="auto"/>
              <w:rPr>
                <w:b/>
                <w:bCs/>
                <w:sz w:val="20"/>
                <w:szCs w:val="20"/>
                <w:lang w:val="en-GB"/>
              </w:rPr>
            </w:pPr>
            <w:r w:rsidRPr="007E54C3">
              <w:rPr>
                <w:b/>
                <w:bCs/>
                <w:sz w:val="20"/>
                <w:szCs w:val="20"/>
                <w:lang w:val="en-GB"/>
              </w:rPr>
              <w:t>S</w:t>
            </w:r>
            <w:r w:rsidRPr="00315E16">
              <w:rPr>
                <w:b/>
                <w:bCs/>
                <w:sz w:val="20"/>
                <w:szCs w:val="20"/>
                <w:lang w:val="en-GB"/>
              </w:rPr>
              <w:t xml:space="preserve">cholar </w:t>
            </w:r>
            <w:r w:rsidRPr="007E54C3">
              <w:rPr>
                <w:b/>
                <w:bCs/>
                <w:sz w:val="20"/>
                <w:szCs w:val="20"/>
                <w:lang w:val="en-GB"/>
              </w:rPr>
              <w:t>C</w:t>
            </w:r>
            <w:r w:rsidRPr="00315E16">
              <w:rPr>
                <w:b/>
                <w:bCs/>
                <w:sz w:val="20"/>
                <w:szCs w:val="20"/>
                <w:lang w:val="en-GB"/>
              </w:rPr>
              <w:t>ommunity</w:t>
            </w:r>
          </w:p>
        </w:tc>
        <w:tc>
          <w:tcPr>
            <w:tcW w:w="6695" w:type="dxa"/>
            <w:gridSpan w:val="2"/>
            <w:shd w:val="clear" w:color="auto" w:fill="auto"/>
          </w:tcPr>
          <w:p w14:paraId="3C763612" w14:textId="6CE4AA98" w:rsidR="008F14B7" w:rsidRDefault="008F14B7" w:rsidP="008F14B7">
            <w:pPr>
              <w:pStyle w:val="ListParagraph"/>
              <w:numPr>
                <w:ilvl w:val="0"/>
                <w:numId w:val="9"/>
              </w:numPr>
              <w:autoSpaceDE w:val="0"/>
              <w:autoSpaceDN w:val="0"/>
              <w:spacing w:after="0" w:line="240" w:lineRule="auto"/>
              <w:ind w:left="350" w:hanging="350"/>
              <w:rPr>
                <w:sz w:val="20"/>
                <w:szCs w:val="20"/>
                <w:lang w:val="en-GB"/>
              </w:rPr>
            </w:pPr>
            <w:r w:rsidRPr="00F455A2">
              <w:rPr>
                <w:sz w:val="20"/>
                <w:szCs w:val="20"/>
                <w:lang w:val="en-GB"/>
              </w:rPr>
              <w:t>Interplay of Poverty, Remittances and Human Capital Development: Panel evidence from selected Sub-Saharan African countries, International Migration; Journal of International Organisation for Migration (IOM), Volume 60 (2): 250-271. 2022.</w:t>
            </w:r>
          </w:p>
          <w:p w14:paraId="67B4809E" w14:textId="196E6DC7" w:rsidR="008F14B7" w:rsidRPr="00E82636" w:rsidRDefault="008F14B7" w:rsidP="008F14B7">
            <w:pPr>
              <w:pStyle w:val="ListParagraph"/>
              <w:numPr>
                <w:ilvl w:val="0"/>
                <w:numId w:val="9"/>
              </w:numPr>
              <w:autoSpaceDE w:val="0"/>
              <w:autoSpaceDN w:val="0"/>
              <w:spacing w:after="0" w:line="240" w:lineRule="auto"/>
              <w:ind w:left="350" w:hanging="350"/>
              <w:rPr>
                <w:sz w:val="20"/>
                <w:szCs w:val="20"/>
                <w:lang w:val="en-GB"/>
              </w:rPr>
            </w:pPr>
            <w:r>
              <w:rPr>
                <w:sz w:val="20"/>
                <w:szCs w:val="20"/>
                <w:lang w:val="en-GB"/>
              </w:rPr>
              <w:t xml:space="preserve">Aregbeshola, R. A. (2019). </w:t>
            </w:r>
            <w:r w:rsidRPr="00E82636">
              <w:rPr>
                <w:sz w:val="20"/>
                <w:szCs w:val="20"/>
                <w:lang w:val="en-GB"/>
              </w:rPr>
              <w:t>A regional analysis of institutional framework on capital market behaviour: evidence from selected African countries, Nigerian Journal of Economic and Social Studies (N</w:t>
            </w:r>
            <w:r>
              <w:rPr>
                <w:sz w:val="20"/>
                <w:szCs w:val="20"/>
                <w:lang w:val="en-GB"/>
              </w:rPr>
              <w:t>JESS), Vol. 61(2):</w:t>
            </w:r>
            <w:r w:rsidRPr="00E82636">
              <w:rPr>
                <w:rFonts w:ascii="Arial" w:hAnsi="Arial"/>
                <w:color w:val="444444"/>
                <w:sz w:val="20"/>
                <w:szCs w:val="20"/>
                <w:shd w:val="clear" w:color="auto" w:fill="FFFFFF"/>
              </w:rPr>
              <w:t xml:space="preserve"> </w:t>
            </w:r>
            <w:r w:rsidRPr="00E82636">
              <w:rPr>
                <w:sz w:val="20"/>
                <w:szCs w:val="20"/>
              </w:rPr>
              <w:t> 231-258</w:t>
            </w:r>
          </w:p>
          <w:p w14:paraId="12B70E6F" w14:textId="77777777" w:rsidR="008F14B7" w:rsidRPr="00E82636" w:rsidRDefault="008F14B7" w:rsidP="008F14B7">
            <w:pPr>
              <w:pStyle w:val="ListParagraph"/>
              <w:numPr>
                <w:ilvl w:val="0"/>
                <w:numId w:val="9"/>
              </w:numPr>
              <w:autoSpaceDE w:val="0"/>
              <w:autoSpaceDN w:val="0"/>
              <w:spacing w:after="0" w:line="240" w:lineRule="auto"/>
              <w:ind w:left="350"/>
              <w:rPr>
                <w:sz w:val="20"/>
                <w:szCs w:val="20"/>
                <w:lang w:val="en-GB"/>
              </w:rPr>
            </w:pPr>
            <w:r>
              <w:rPr>
                <w:sz w:val="20"/>
                <w:szCs w:val="20"/>
                <w:lang w:val="en-GB"/>
              </w:rPr>
              <w:t xml:space="preserve">Aregbeshola, R. A. (2018). </w:t>
            </w:r>
            <w:r w:rsidRPr="00E82636">
              <w:rPr>
                <w:sz w:val="20"/>
                <w:szCs w:val="20"/>
                <w:lang w:val="en-GB"/>
              </w:rPr>
              <w:t>The machination of foreign direct investment flow to emerging markets – a focus on Africa. African Journal of Economic and Management Studies, Vol. 9 (4): 430-448</w:t>
            </w:r>
          </w:p>
          <w:p w14:paraId="13B1746B" w14:textId="77777777" w:rsidR="008F14B7" w:rsidRPr="00E82636" w:rsidRDefault="008F14B7" w:rsidP="008F14B7">
            <w:pPr>
              <w:pStyle w:val="ListParagraph"/>
              <w:numPr>
                <w:ilvl w:val="0"/>
                <w:numId w:val="9"/>
              </w:numPr>
              <w:autoSpaceDE w:val="0"/>
              <w:autoSpaceDN w:val="0"/>
              <w:spacing w:after="0" w:line="240" w:lineRule="auto"/>
              <w:ind w:left="350" w:hanging="284"/>
              <w:rPr>
                <w:sz w:val="20"/>
                <w:szCs w:val="20"/>
                <w:lang w:val="en-GB"/>
              </w:rPr>
            </w:pPr>
            <w:r>
              <w:rPr>
                <w:sz w:val="20"/>
                <w:szCs w:val="20"/>
                <w:lang w:val="en-GB"/>
              </w:rPr>
              <w:t xml:space="preserve">Aregbeshola, R. A. (2017). </w:t>
            </w:r>
            <w:r w:rsidRPr="00E82636">
              <w:rPr>
                <w:sz w:val="20"/>
                <w:szCs w:val="20"/>
                <w:lang w:val="en-GB"/>
              </w:rPr>
              <w:t xml:space="preserve">Import substitution industrialisation and economic growth – Evidence from the group of BRICS countries. Future Business Journal, Vol. 3(2): 138-158 </w:t>
            </w:r>
          </w:p>
          <w:p w14:paraId="19CBFA46" w14:textId="77777777" w:rsidR="008F14B7" w:rsidRDefault="008F14B7" w:rsidP="008F14B7">
            <w:pPr>
              <w:pStyle w:val="ListParagraph"/>
              <w:numPr>
                <w:ilvl w:val="0"/>
                <w:numId w:val="9"/>
              </w:numPr>
              <w:autoSpaceDE w:val="0"/>
              <w:autoSpaceDN w:val="0"/>
              <w:spacing w:after="0" w:line="240" w:lineRule="auto"/>
              <w:ind w:left="350"/>
              <w:rPr>
                <w:sz w:val="20"/>
                <w:szCs w:val="20"/>
                <w:lang w:val="en-GB"/>
              </w:rPr>
            </w:pPr>
            <w:r>
              <w:rPr>
                <w:sz w:val="20"/>
                <w:szCs w:val="20"/>
                <w:lang w:val="en-GB"/>
              </w:rPr>
              <w:t xml:space="preserve">Aregbeshola, R A (2016). The Role of Local Financial Markets on Economic Growth – a sample of three African economic groupings. African Journal of Economic and Management Studies, Vol.7(2):225-240). </w:t>
            </w:r>
          </w:p>
          <w:p w14:paraId="414D1B42" w14:textId="77777777" w:rsidR="008F14B7" w:rsidRDefault="008F14B7" w:rsidP="008F14B7">
            <w:pPr>
              <w:pStyle w:val="ListParagraph"/>
              <w:numPr>
                <w:ilvl w:val="0"/>
                <w:numId w:val="9"/>
              </w:numPr>
              <w:autoSpaceDE w:val="0"/>
              <w:autoSpaceDN w:val="0"/>
              <w:spacing w:after="0" w:line="240" w:lineRule="auto"/>
              <w:ind w:left="350" w:hanging="350"/>
              <w:rPr>
                <w:sz w:val="20"/>
                <w:szCs w:val="20"/>
                <w:lang w:val="en-GB"/>
              </w:rPr>
            </w:pPr>
            <w:proofErr w:type="spellStart"/>
            <w:r w:rsidRPr="00357599">
              <w:rPr>
                <w:sz w:val="20"/>
                <w:szCs w:val="20"/>
                <w:lang w:val="en-GB"/>
              </w:rPr>
              <w:t>Demirgüç</w:t>
            </w:r>
            <w:proofErr w:type="spellEnd"/>
            <w:r w:rsidRPr="00357599">
              <w:rPr>
                <w:sz w:val="20"/>
                <w:szCs w:val="20"/>
                <w:lang w:val="en-GB"/>
              </w:rPr>
              <w:t>-Kunt, A. and Levine R. (2008). Finance, Financial Sector Policies and Long Run Growth. The World Bank Development Research Group, Policy Research Working Paper No: 4469</w:t>
            </w:r>
          </w:p>
          <w:p w14:paraId="461B85EC" w14:textId="77777777" w:rsidR="008F14B7" w:rsidRPr="00357599" w:rsidRDefault="008F14B7" w:rsidP="008F14B7">
            <w:pPr>
              <w:pStyle w:val="ListParagraph"/>
              <w:numPr>
                <w:ilvl w:val="0"/>
                <w:numId w:val="9"/>
              </w:numPr>
              <w:autoSpaceDE w:val="0"/>
              <w:autoSpaceDN w:val="0"/>
              <w:spacing w:after="0" w:line="240" w:lineRule="auto"/>
              <w:ind w:left="350"/>
              <w:rPr>
                <w:sz w:val="20"/>
                <w:szCs w:val="20"/>
                <w:lang w:val="en-GB"/>
              </w:rPr>
            </w:pPr>
            <w:r w:rsidRPr="00357599">
              <w:rPr>
                <w:sz w:val="20"/>
                <w:szCs w:val="20"/>
                <w:lang w:val="en-GB"/>
              </w:rPr>
              <w:t>Rousseau, P. L. and Wachtel, P. (2000). Equity Markets and Growth: cross country evidence on timing and outcomes. Journal of Banking and Finance, vol. 24, no.1. pp. 1933-1957.</w:t>
            </w:r>
          </w:p>
          <w:p w14:paraId="28ED8B7F" w14:textId="77777777" w:rsidR="008F14B7" w:rsidRPr="00FF4CAA" w:rsidRDefault="008F14B7" w:rsidP="008F14B7">
            <w:pPr>
              <w:pStyle w:val="ListParagraph"/>
              <w:numPr>
                <w:ilvl w:val="0"/>
                <w:numId w:val="4"/>
              </w:numPr>
              <w:autoSpaceDE w:val="0"/>
              <w:autoSpaceDN w:val="0"/>
              <w:spacing w:after="0" w:line="240" w:lineRule="auto"/>
              <w:ind w:left="459" w:hanging="426"/>
              <w:rPr>
                <w:sz w:val="20"/>
                <w:szCs w:val="20"/>
                <w:lang w:val="en-GB"/>
              </w:rPr>
            </w:pPr>
            <w:r w:rsidRPr="00FF4CAA">
              <w:rPr>
                <w:sz w:val="20"/>
                <w:szCs w:val="20"/>
                <w:lang w:val="en-GB"/>
              </w:rPr>
              <w:t>Abramovitz, M. 1989. Thinking about growth: and other essays on economic growth and welfare. Cambridge: Cambridge University Press.</w:t>
            </w:r>
          </w:p>
          <w:p w14:paraId="3C0D5C08" w14:textId="77777777" w:rsidR="008F14B7" w:rsidRPr="00FF4CAA" w:rsidRDefault="008F14B7" w:rsidP="008F14B7">
            <w:pPr>
              <w:pStyle w:val="ListParagraph"/>
              <w:numPr>
                <w:ilvl w:val="0"/>
                <w:numId w:val="4"/>
              </w:numPr>
              <w:autoSpaceDE w:val="0"/>
              <w:autoSpaceDN w:val="0"/>
              <w:spacing w:after="0" w:line="240" w:lineRule="auto"/>
              <w:ind w:left="459"/>
              <w:rPr>
                <w:sz w:val="20"/>
                <w:szCs w:val="20"/>
                <w:lang w:val="en-GB"/>
              </w:rPr>
            </w:pPr>
            <w:r w:rsidRPr="00FF4CAA">
              <w:rPr>
                <w:sz w:val="20"/>
                <w:szCs w:val="20"/>
                <w:lang w:val="en-GB"/>
              </w:rPr>
              <w:t>Acemoglu, D., Johnson, S. and Mitton, T. 2009. Determinants of Vertical Integration: Financial Development and Contracting Costs. The Journal of Finance, Vol. 63(3): 1251-1290</w:t>
            </w:r>
          </w:p>
          <w:p w14:paraId="67907107" w14:textId="77777777" w:rsidR="008F14B7" w:rsidRPr="00FF4CAA" w:rsidRDefault="008F14B7" w:rsidP="008F14B7">
            <w:pPr>
              <w:pStyle w:val="ListParagraph"/>
              <w:numPr>
                <w:ilvl w:val="0"/>
                <w:numId w:val="4"/>
              </w:numPr>
              <w:autoSpaceDE w:val="0"/>
              <w:autoSpaceDN w:val="0"/>
              <w:spacing w:after="0" w:line="240" w:lineRule="auto"/>
              <w:ind w:left="459"/>
              <w:rPr>
                <w:sz w:val="20"/>
                <w:szCs w:val="20"/>
                <w:lang w:val="en-GB"/>
              </w:rPr>
            </w:pPr>
            <w:r w:rsidRPr="00FF4CAA">
              <w:rPr>
                <w:sz w:val="20"/>
                <w:szCs w:val="20"/>
                <w:lang w:val="en-GB"/>
              </w:rPr>
              <w:t>Adams, S. 2009. Foreign Direct Investment, Domestic Investment, and Economic Growth in Sub-Saharan Africa. Journal of Policy Modelling, Vol. 31(6): 939–949.</w:t>
            </w:r>
          </w:p>
          <w:p w14:paraId="2B4CF661" w14:textId="77777777" w:rsidR="008F14B7" w:rsidRPr="00FF4CAA" w:rsidRDefault="008F14B7" w:rsidP="008F14B7">
            <w:pPr>
              <w:pStyle w:val="ListParagraph"/>
              <w:numPr>
                <w:ilvl w:val="0"/>
                <w:numId w:val="4"/>
              </w:numPr>
              <w:autoSpaceDE w:val="0"/>
              <w:autoSpaceDN w:val="0"/>
              <w:spacing w:after="0" w:line="240" w:lineRule="auto"/>
              <w:ind w:left="459" w:hanging="284"/>
              <w:rPr>
                <w:sz w:val="20"/>
                <w:szCs w:val="20"/>
                <w:lang w:val="en-GB"/>
              </w:rPr>
            </w:pPr>
            <w:proofErr w:type="spellStart"/>
            <w:r w:rsidRPr="00FF4CAA">
              <w:rPr>
                <w:sz w:val="20"/>
                <w:szCs w:val="20"/>
                <w:lang w:val="en-GB"/>
              </w:rPr>
              <w:t>Adelegan</w:t>
            </w:r>
            <w:proofErr w:type="spellEnd"/>
            <w:r w:rsidRPr="00FF4CAA">
              <w:rPr>
                <w:sz w:val="20"/>
                <w:szCs w:val="20"/>
                <w:lang w:val="en-GB"/>
              </w:rPr>
              <w:t xml:space="preserve">, O. J. 2004. How efficient is the Nigerian Stock Market? Further Evidence. African Review of Money Finance and Banking, Vol. 1: 145-165. </w:t>
            </w:r>
          </w:p>
          <w:p w14:paraId="4294C31A" w14:textId="77777777" w:rsidR="008F14B7" w:rsidRPr="00FF4CAA" w:rsidRDefault="008F14B7" w:rsidP="008F14B7">
            <w:pPr>
              <w:pStyle w:val="ListParagraph"/>
              <w:numPr>
                <w:ilvl w:val="0"/>
                <w:numId w:val="4"/>
              </w:numPr>
              <w:autoSpaceDE w:val="0"/>
              <w:autoSpaceDN w:val="0"/>
              <w:spacing w:after="0" w:line="240" w:lineRule="auto"/>
              <w:ind w:left="459"/>
              <w:rPr>
                <w:sz w:val="20"/>
                <w:szCs w:val="20"/>
                <w:lang w:val="en-GB"/>
              </w:rPr>
            </w:pPr>
            <w:r w:rsidRPr="00FF4CAA">
              <w:rPr>
                <w:sz w:val="20"/>
                <w:szCs w:val="20"/>
                <w:lang w:val="en-GB"/>
              </w:rPr>
              <w:t xml:space="preserve">Alfaro, L., Chanda, A., </w:t>
            </w:r>
            <w:proofErr w:type="spellStart"/>
            <w:r w:rsidRPr="00FF4CAA">
              <w:rPr>
                <w:sz w:val="20"/>
                <w:szCs w:val="20"/>
                <w:lang w:val="en-GB"/>
              </w:rPr>
              <w:t>Kalemli</w:t>
            </w:r>
            <w:proofErr w:type="spellEnd"/>
            <w:r w:rsidRPr="00FF4CAA">
              <w:rPr>
                <w:sz w:val="20"/>
                <w:szCs w:val="20"/>
                <w:lang w:val="en-GB"/>
              </w:rPr>
              <w:t xml:space="preserve">-Ozcan, S and </w:t>
            </w:r>
            <w:proofErr w:type="spellStart"/>
            <w:r w:rsidRPr="00FF4CAA">
              <w:rPr>
                <w:sz w:val="20"/>
                <w:szCs w:val="20"/>
                <w:lang w:val="en-GB"/>
              </w:rPr>
              <w:t>Sayek</w:t>
            </w:r>
            <w:proofErr w:type="spellEnd"/>
            <w:r w:rsidRPr="00FF4CAA">
              <w:rPr>
                <w:sz w:val="20"/>
                <w:szCs w:val="20"/>
                <w:lang w:val="en-GB"/>
              </w:rPr>
              <w:t>, S. 2004. FDI and economic growth: the role of local financial markets. Journal of International Economics, Vol. 64(1): 89–112.</w:t>
            </w:r>
          </w:p>
          <w:p w14:paraId="600D8A72" w14:textId="77777777" w:rsidR="008F14B7" w:rsidRPr="00FF4CAA" w:rsidRDefault="008F14B7" w:rsidP="008F14B7">
            <w:pPr>
              <w:pStyle w:val="ListParagraph"/>
              <w:numPr>
                <w:ilvl w:val="0"/>
                <w:numId w:val="4"/>
              </w:numPr>
              <w:autoSpaceDE w:val="0"/>
              <w:autoSpaceDN w:val="0"/>
              <w:spacing w:after="0" w:line="240" w:lineRule="auto"/>
              <w:ind w:left="459" w:hanging="284"/>
              <w:rPr>
                <w:sz w:val="20"/>
                <w:szCs w:val="20"/>
                <w:lang w:val="en-GB"/>
              </w:rPr>
            </w:pPr>
            <w:r w:rsidRPr="00FF4CAA">
              <w:rPr>
                <w:sz w:val="20"/>
                <w:szCs w:val="20"/>
                <w:lang w:val="en-GB"/>
              </w:rPr>
              <w:t xml:space="preserve">Allen, F. 1995. Stock markets and resource allocation; in Capital Markets and Financial Intermediation. In Mayer, C. and Vives, X. Centre for Economic Policy Research. New York: Cambridge University Press, pages 81- 116. </w:t>
            </w:r>
          </w:p>
          <w:p w14:paraId="028514A1" w14:textId="77777777" w:rsidR="008F14B7" w:rsidRPr="00FF4CAA" w:rsidRDefault="008F14B7" w:rsidP="008F14B7">
            <w:pPr>
              <w:pStyle w:val="ListParagraph"/>
              <w:numPr>
                <w:ilvl w:val="0"/>
                <w:numId w:val="4"/>
              </w:numPr>
              <w:autoSpaceDE w:val="0"/>
              <w:autoSpaceDN w:val="0"/>
              <w:spacing w:after="0" w:line="240" w:lineRule="auto"/>
              <w:ind w:left="459" w:hanging="284"/>
              <w:rPr>
                <w:sz w:val="20"/>
                <w:szCs w:val="20"/>
                <w:lang w:val="en-GB"/>
              </w:rPr>
            </w:pPr>
            <w:r w:rsidRPr="00FF4CAA">
              <w:rPr>
                <w:sz w:val="20"/>
                <w:szCs w:val="20"/>
                <w:lang w:val="de-DE"/>
              </w:rPr>
              <w:t xml:space="preserve">Allen, D. S. and </w:t>
            </w:r>
            <w:proofErr w:type="spellStart"/>
            <w:r w:rsidRPr="00FF4CAA">
              <w:rPr>
                <w:sz w:val="20"/>
                <w:szCs w:val="20"/>
                <w:lang w:val="de-DE"/>
              </w:rPr>
              <w:t>Ndikumana</w:t>
            </w:r>
            <w:proofErr w:type="spellEnd"/>
            <w:r w:rsidRPr="00FF4CAA">
              <w:rPr>
                <w:sz w:val="20"/>
                <w:szCs w:val="20"/>
                <w:lang w:val="de-DE"/>
              </w:rPr>
              <w:t xml:space="preserve">, L. 2000. </w:t>
            </w:r>
            <w:r w:rsidRPr="00FF4CAA">
              <w:rPr>
                <w:sz w:val="20"/>
                <w:szCs w:val="20"/>
                <w:lang w:val="en-GB"/>
              </w:rPr>
              <w:t xml:space="preserve">Financial Intermediation and Economic Growth in Southern Africa. Journal of African Economies. Vol. 9(2): 132-160. </w:t>
            </w:r>
          </w:p>
          <w:p w14:paraId="46751677" w14:textId="77777777" w:rsidR="008F14B7" w:rsidRPr="00315E16" w:rsidRDefault="008F14B7" w:rsidP="008F14B7">
            <w:pPr>
              <w:pStyle w:val="ListParagraph"/>
              <w:numPr>
                <w:ilvl w:val="0"/>
                <w:numId w:val="4"/>
              </w:numPr>
              <w:autoSpaceDE w:val="0"/>
              <w:autoSpaceDN w:val="0"/>
              <w:spacing w:after="0" w:line="240" w:lineRule="auto"/>
              <w:ind w:left="459" w:hanging="284"/>
              <w:contextualSpacing w:val="0"/>
              <w:rPr>
                <w:sz w:val="20"/>
                <w:szCs w:val="20"/>
                <w:lang w:val="en-GB"/>
              </w:rPr>
            </w:pPr>
            <w:r w:rsidRPr="00FF4CAA">
              <w:rPr>
                <w:sz w:val="20"/>
                <w:szCs w:val="20"/>
                <w:lang w:val="en-GB"/>
              </w:rPr>
              <w:t xml:space="preserve">Allen, F., Carletti, E., Cull, R.., Qian, J., </w:t>
            </w:r>
            <w:proofErr w:type="spellStart"/>
            <w:r w:rsidRPr="00FF4CAA">
              <w:rPr>
                <w:sz w:val="20"/>
                <w:szCs w:val="20"/>
                <w:lang w:val="en-GB"/>
              </w:rPr>
              <w:t>Senbet</w:t>
            </w:r>
            <w:proofErr w:type="spellEnd"/>
            <w:r w:rsidRPr="00FF4CAA">
              <w:rPr>
                <w:sz w:val="20"/>
                <w:szCs w:val="20"/>
                <w:lang w:val="en-GB"/>
              </w:rPr>
              <w:t xml:space="preserve">, L. and Valenzuela, P. 2012. Resolving the African Financial Development Gap: Cross Country Comparisons and a Within – Country study of Kenya. NBER. WP 18013. </w:t>
            </w:r>
          </w:p>
        </w:tc>
      </w:tr>
      <w:tr w:rsidR="008F14B7" w:rsidRPr="00315E16" w14:paraId="4740DFAA" w14:textId="77777777" w:rsidTr="00446B15">
        <w:trPr>
          <w:trHeight w:val="276"/>
        </w:trPr>
        <w:tc>
          <w:tcPr>
            <w:tcW w:w="9242" w:type="dxa"/>
            <w:gridSpan w:val="3"/>
            <w:shd w:val="clear" w:color="auto" w:fill="auto"/>
          </w:tcPr>
          <w:p w14:paraId="313E8A00" w14:textId="77777777" w:rsidR="008F14B7" w:rsidRPr="00315E16" w:rsidRDefault="008F14B7" w:rsidP="008F14B7">
            <w:pPr>
              <w:spacing w:after="0" w:line="240" w:lineRule="auto"/>
              <w:rPr>
                <w:sz w:val="20"/>
                <w:szCs w:val="20"/>
                <w:lang w:val="en-GB"/>
              </w:rPr>
            </w:pPr>
            <w:r w:rsidRPr="00315E16">
              <w:rPr>
                <w:b/>
                <w:sz w:val="20"/>
                <w:szCs w:val="20"/>
                <w:lang w:val="en-GB"/>
              </w:rPr>
              <w:t xml:space="preserve">Potential M&amp;D </w:t>
            </w:r>
            <w:r w:rsidRPr="007E54C3">
              <w:rPr>
                <w:b/>
                <w:sz w:val="20"/>
                <w:szCs w:val="20"/>
                <w:lang w:val="en-GB"/>
              </w:rPr>
              <w:t>R</w:t>
            </w:r>
            <w:r w:rsidRPr="00315E16">
              <w:rPr>
                <w:b/>
                <w:sz w:val="20"/>
                <w:szCs w:val="20"/>
                <w:lang w:val="en-GB"/>
              </w:rPr>
              <w:t xml:space="preserve">esearch </w:t>
            </w:r>
            <w:r w:rsidRPr="007E54C3">
              <w:rPr>
                <w:b/>
                <w:sz w:val="20"/>
                <w:szCs w:val="20"/>
                <w:lang w:val="en-GB"/>
              </w:rPr>
              <w:t>F</w:t>
            </w:r>
            <w:r w:rsidRPr="00315E16">
              <w:rPr>
                <w:b/>
                <w:sz w:val="20"/>
                <w:szCs w:val="20"/>
                <w:lang w:val="en-GB"/>
              </w:rPr>
              <w:t xml:space="preserve">ocus </w:t>
            </w:r>
            <w:r w:rsidRPr="007E54C3">
              <w:rPr>
                <w:b/>
                <w:sz w:val="20"/>
                <w:szCs w:val="20"/>
                <w:lang w:val="en-GB"/>
              </w:rPr>
              <w:t>A</w:t>
            </w:r>
            <w:r w:rsidRPr="00315E16">
              <w:rPr>
                <w:b/>
                <w:sz w:val="20"/>
                <w:szCs w:val="20"/>
                <w:lang w:val="en-GB"/>
              </w:rPr>
              <w:t xml:space="preserve">reas or </w:t>
            </w:r>
            <w:r w:rsidRPr="007E54C3">
              <w:rPr>
                <w:b/>
                <w:sz w:val="20"/>
                <w:szCs w:val="20"/>
                <w:lang w:val="en-GB"/>
              </w:rPr>
              <w:t>R</w:t>
            </w:r>
            <w:r w:rsidRPr="00315E16">
              <w:rPr>
                <w:b/>
                <w:sz w:val="20"/>
                <w:szCs w:val="20"/>
                <w:lang w:val="en-GB"/>
              </w:rPr>
              <w:t xml:space="preserve">esearch </w:t>
            </w:r>
            <w:r w:rsidRPr="007E54C3">
              <w:rPr>
                <w:b/>
                <w:sz w:val="20"/>
                <w:szCs w:val="20"/>
                <w:lang w:val="en-GB"/>
              </w:rPr>
              <w:t>P</w:t>
            </w:r>
            <w:r w:rsidRPr="00315E16">
              <w:rPr>
                <w:b/>
                <w:sz w:val="20"/>
                <w:szCs w:val="20"/>
                <w:lang w:val="en-GB"/>
              </w:rPr>
              <w:t>rojects</w:t>
            </w:r>
          </w:p>
        </w:tc>
      </w:tr>
      <w:tr w:rsidR="008F14B7" w:rsidRPr="00315E16" w14:paraId="4D51528F" w14:textId="77777777" w:rsidTr="00446B15">
        <w:trPr>
          <w:trHeight w:val="276"/>
        </w:trPr>
        <w:tc>
          <w:tcPr>
            <w:tcW w:w="2547" w:type="dxa"/>
            <w:shd w:val="clear" w:color="auto" w:fill="auto"/>
          </w:tcPr>
          <w:p w14:paraId="1ED16968" w14:textId="77777777" w:rsidR="008F14B7" w:rsidRPr="00315E16" w:rsidRDefault="008F14B7" w:rsidP="008F14B7">
            <w:pPr>
              <w:spacing w:after="0" w:line="240" w:lineRule="auto"/>
              <w:rPr>
                <w:b/>
                <w:sz w:val="20"/>
                <w:szCs w:val="20"/>
                <w:lang w:val="en-GB"/>
              </w:rPr>
            </w:pPr>
            <w:r w:rsidRPr="00315E16">
              <w:rPr>
                <w:b/>
                <w:sz w:val="20"/>
                <w:szCs w:val="20"/>
                <w:lang w:val="en-GB"/>
              </w:rPr>
              <w:t>Unit of Analysis</w:t>
            </w:r>
          </w:p>
        </w:tc>
        <w:tc>
          <w:tcPr>
            <w:tcW w:w="6695" w:type="dxa"/>
            <w:gridSpan w:val="2"/>
            <w:shd w:val="clear" w:color="auto" w:fill="auto"/>
          </w:tcPr>
          <w:p w14:paraId="62C57CCB" w14:textId="77777777" w:rsidR="008F14B7" w:rsidRPr="00315E16" w:rsidRDefault="008F14B7" w:rsidP="008F14B7">
            <w:pPr>
              <w:spacing w:after="0" w:line="240" w:lineRule="auto"/>
              <w:rPr>
                <w:b/>
                <w:sz w:val="20"/>
                <w:szCs w:val="20"/>
                <w:lang w:val="en-GB"/>
              </w:rPr>
            </w:pPr>
            <w:r w:rsidRPr="00315E16">
              <w:rPr>
                <w:b/>
                <w:sz w:val="20"/>
                <w:szCs w:val="20"/>
                <w:lang w:val="en-GB"/>
              </w:rPr>
              <w:t>Research Focus</w:t>
            </w:r>
          </w:p>
        </w:tc>
      </w:tr>
      <w:tr w:rsidR="008F14B7" w:rsidRPr="00315E16" w14:paraId="5B763407" w14:textId="77777777" w:rsidTr="00446B15">
        <w:trPr>
          <w:trHeight w:val="276"/>
        </w:trPr>
        <w:tc>
          <w:tcPr>
            <w:tcW w:w="2547" w:type="dxa"/>
            <w:shd w:val="clear" w:color="auto" w:fill="auto"/>
          </w:tcPr>
          <w:p w14:paraId="43D9177C" w14:textId="77777777" w:rsidR="008F14B7" w:rsidRPr="00315E16" w:rsidRDefault="008F14B7" w:rsidP="008F14B7">
            <w:pPr>
              <w:spacing w:after="0" w:line="240" w:lineRule="auto"/>
              <w:rPr>
                <w:sz w:val="20"/>
                <w:szCs w:val="20"/>
                <w:lang w:val="en-GB"/>
              </w:rPr>
            </w:pPr>
            <w:r>
              <w:rPr>
                <w:sz w:val="20"/>
                <w:szCs w:val="20"/>
                <w:lang w:val="en-GB"/>
              </w:rPr>
              <w:t>Expansion strategies of international business</w:t>
            </w:r>
          </w:p>
        </w:tc>
        <w:tc>
          <w:tcPr>
            <w:tcW w:w="6695" w:type="dxa"/>
            <w:gridSpan w:val="2"/>
            <w:shd w:val="clear" w:color="auto" w:fill="auto"/>
          </w:tcPr>
          <w:p w14:paraId="7A66BA39"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sidRPr="00315E16">
              <w:rPr>
                <w:sz w:val="20"/>
                <w:szCs w:val="20"/>
                <w:lang w:val="en-GB"/>
              </w:rPr>
              <w:t>Comparative description and explanation of th</w:t>
            </w:r>
            <w:r>
              <w:rPr>
                <w:sz w:val="20"/>
                <w:szCs w:val="20"/>
                <w:lang w:val="en-GB"/>
              </w:rPr>
              <w:t>e determinants of expansion strategies of multinational corporations</w:t>
            </w:r>
            <w:r w:rsidRPr="00315E16">
              <w:rPr>
                <w:sz w:val="20"/>
                <w:szCs w:val="20"/>
                <w:lang w:val="en-GB"/>
              </w:rPr>
              <w:t xml:space="preserve"> in African and other emerging market economies</w:t>
            </w:r>
          </w:p>
          <w:p w14:paraId="5203162A"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 xml:space="preserve">Institutional environments of MNCs’ offshore location and </w:t>
            </w:r>
            <w:proofErr w:type="spellStart"/>
            <w:r>
              <w:rPr>
                <w:sz w:val="20"/>
                <w:szCs w:val="20"/>
                <w:lang w:val="en-GB"/>
              </w:rPr>
              <w:t>attarctiveness</w:t>
            </w:r>
            <w:proofErr w:type="spellEnd"/>
          </w:p>
        </w:tc>
      </w:tr>
      <w:tr w:rsidR="008F14B7" w:rsidRPr="00315E16" w14:paraId="4F3A878D" w14:textId="77777777" w:rsidTr="00446B15">
        <w:trPr>
          <w:trHeight w:val="276"/>
        </w:trPr>
        <w:tc>
          <w:tcPr>
            <w:tcW w:w="2547" w:type="dxa"/>
            <w:shd w:val="clear" w:color="auto" w:fill="auto"/>
          </w:tcPr>
          <w:p w14:paraId="60B6EA86" w14:textId="77777777" w:rsidR="008F14B7" w:rsidRPr="00DA0CC4" w:rsidRDefault="008F14B7" w:rsidP="008F14B7">
            <w:pPr>
              <w:spacing w:after="0" w:line="240" w:lineRule="auto"/>
              <w:rPr>
                <w:sz w:val="20"/>
                <w:szCs w:val="20"/>
                <w:lang w:val="en-GB"/>
              </w:rPr>
            </w:pPr>
            <w:r>
              <w:rPr>
                <w:sz w:val="20"/>
                <w:szCs w:val="20"/>
                <w:lang w:val="en-GB"/>
              </w:rPr>
              <w:t>Foreign expansion strategies</w:t>
            </w:r>
          </w:p>
          <w:p w14:paraId="64500BCA" w14:textId="77777777" w:rsidR="008F14B7" w:rsidRPr="00DA0CC4" w:rsidRDefault="008F14B7" w:rsidP="008F14B7">
            <w:pPr>
              <w:spacing w:after="0" w:line="240" w:lineRule="auto"/>
              <w:rPr>
                <w:b/>
                <w:sz w:val="20"/>
                <w:szCs w:val="20"/>
                <w:lang w:val="en-GB"/>
              </w:rPr>
            </w:pPr>
          </w:p>
        </w:tc>
        <w:tc>
          <w:tcPr>
            <w:tcW w:w="6695" w:type="dxa"/>
            <w:gridSpan w:val="2"/>
            <w:shd w:val="clear" w:color="auto" w:fill="auto"/>
          </w:tcPr>
          <w:p w14:paraId="6DE140E9"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Multinational corporations</w:t>
            </w:r>
          </w:p>
          <w:p w14:paraId="75842680"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Joint ventures</w:t>
            </w:r>
          </w:p>
          <w:p w14:paraId="69C5E014"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Foreign direct investment</w:t>
            </w:r>
          </w:p>
          <w:p w14:paraId="6732488A"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Corroborative arrangements</w:t>
            </w:r>
          </w:p>
          <w:p w14:paraId="0F15B7D8" w14:textId="77777777" w:rsidR="008F14B7" w:rsidRPr="00FF4CAA"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 xml:space="preserve">Structural formation of investments – greenfield Vs </w:t>
            </w:r>
            <w:proofErr w:type="spellStart"/>
            <w:r>
              <w:rPr>
                <w:sz w:val="20"/>
                <w:szCs w:val="20"/>
                <w:lang w:val="en-GB"/>
              </w:rPr>
              <w:t>brownfiled</w:t>
            </w:r>
            <w:proofErr w:type="spellEnd"/>
          </w:p>
        </w:tc>
      </w:tr>
      <w:tr w:rsidR="008F14B7" w:rsidRPr="00315E16" w14:paraId="09D3C8CC" w14:textId="77777777" w:rsidTr="00446B15">
        <w:trPr>
          <w:trHeight w:val="276"/>
        </w:trPr>
        <w:tc>
          <w:tcPr>
            <w:tcW w:w="2547" w:type="dxa"/>
            <w:shd w:val="clear" w:color="auto" w:fill="auto"/>
          </w:tcPr>
          <w:p w14:paraId="136EFAE7" w14:textId="77777777" w:rsidR="008F14B7" w:rsidRPr="00DA0CC4" w:rsidRDefault="008F14B7" w:rsidP="008F14B7">
            <w:pPr>
              <w:spacing w:after="0" w:line="240" w:lineRule="auto"/>
              <w:rPr>
                <w:sz w:val="20"/>
                <w:szCs w:val="20"/>
                <w:lang w:val="en-GB"/>
              </w:rPr>
            </w:pPr>
            <w:r>
              <w:rPr>
                <w:sz w:val="20"/>
                <w:szCs w:val="20"/>
                <w:lang w:val="en-GB"/>
              </w:rPr>
              <w:t>Political economy of countries</w:t>
            </w:r>
          </w:p>
        </w:tc>
        <w:tc>
          <w:tcPr>
            <w:tcW w:w="6695" w:type="dxa"/>
            <w:gridSpan w:val="2"/>
            <w:shd w:val="clear" w:color="auto" w:fill="auto"/>
          </w:tcPr>
          <w:p w14:paraId="239C18C2"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sidRPr="00315E16">
              <w:rPr>
                <w:sz w:val="20"/>
                <w:szCs w:val="20"/>
                <w:lang w:val="en-GB"/>
              </w:rPr>
              <w:t xml:space="preserve">Convergence of macroeconomic </w:t>
            </w:r>
            <w:r>
              <w:rPr>
                <w:sz w:val="20"/>
                <w:szCs w:val="20"/>
                <w:lang w:val="en-GB"/>
              </w:rPr>
              <w:t>policies across emerging markets</w:t>
            </w:r>
          </w:p>
          <w:p w14:paraId="366E7DBA"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Institutional determinants of trade and investment</w:t>
            </w:r>
          </w:p>
          <w:p w14:paraId="47DA2BB3"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Strategic issues of investment and trade</w:t>
            </w:r>
          </w:p>
          <w:p w14:paraId="17CB57C8"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Gravity explanation of FDI behaviour and trade flows</w:t>
            </w:r>
          </w:p>
          <w:p w14:paraId="6EF360C1"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Instruments of trade restriction/promotion and their relevance to international capital flows</w:t>
            </w:r>
          </w:p>
        </w:tc>
      </w:tr>
      <w:tr w:rsidR="008F14B7" w:rsidRPr="00DA0CC4" w14:paraId="7ABE7B23" w14:textId="77777777" w:rsidTr="00446B15">
        <w:trPr>
          <w:trHeight w:val="276"/>
        </w:trPr>
        <w:tc>
          <w:tcPr>
            <w:tcW w:w="2547" w:type="dxa"/>
            <w:shd w:val="clear" w:color="auto" w:fill="auto"/>
          </w:tcPr>
          <w:p w14:paraId="1CCAF72E" w14:textId="77777777" w:rsidR="008F14B7" w:rsidRPr="00DA0CC4" w:rsidRDefault="008F14B7" w:rsidP="008F14B7">
            <w:pPr>
              <w:spacing w:after="0" w:line="240" w:lineRule="auto"/>
              <w:rPr>
                <w:sz w:val="20"/>
                <w:szCs w:val="20"/>
                <w:lang w:val="en-GB"/>
              </w:rPr>
            </w:pPr>
            <w:r>
              <w:rPr>
                <w:sz w:val="20"/>
                <w:szCs w:val="20"/>
                <w:lang w:val="en-GB"/>
              </w:rPr>
              <w:t>Capital market dynamics</w:t>
            </w:r>
          </w:p>
        </w:tc>
        <w:tc>
          <w:tcPr>
            <w:tcW w:w="6695" w:type="dxa"/>
            <w:gridSpan w:val="2"/>
            <w:shd w:val="clear" w:color="auto" w:fill="auto"/>
          </w:tcPr>
          <w:p w14:paraId="3179549D"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sidRPr="00315E16">
              <w:rPr>
                <w:sz w:val="20"/>
                <w:szCs w:val="20"/>
                <w:lang w:val="en-GB"/>
              </w:rPr>
              <w:t xml:space="preserve">Models of </w:t>
            </w:r>
            <w:r>
              <w:rPr>
                <w:sz w:val="20"/>
                <w:szCs w:val="20"/>
                <w:lang w:val="en-GB"/>
              </w:rPr>
              <w:t xml:space="preserve">capital market development </w:t>
            </w:r>
          </w:p>
          <w:p w14:paraId="16AFC7A8" w14:textId="53F0B2B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Models of contemporary banking institutions and international capital flows</w:t>
            </w:r>
          </w:p>
          <w:p w14:paraId="708B297B"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Intricacies of stock market development and FDI flows</w:t>
            </w:r>
          </w:p>
          <w:p w14:paraId="25C34F64"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sidRPr="00315E16">
              <w:rPr>
                <w:sz w:val="20"/>
                <w:szCs w:val="20"/>
                <w:lang w:val="en-GB"/>
              </w:rPr>
              <w:t xml:space="preserve">Policy and institutional settings of </w:t>
            </w:r>
            <w:r>
              <w:rPr>
                <w:sz w:val="20"/>
                <w:szCs w:val="20"/>
                <w:lang w:val="en-GB"/>
              </w:rPr>
              <w:t xml:space="preserve">capital market </w:t>
            </w:r>
          </w:p>
          <w:p w14:paraId="50C984F8"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sidRPr="00315E16">
              <w:rPr>
                <w:sz w:val="20"/>
                <w:szCs w:val="20"/>
                <w:lang w:val="en-GB"/>
              </w:rPr>
              <w:t xml:space="preserve">Formal versus informal </w:t>
            </w:r>
            <w:r>
              <w:rPr>
                <w:sz w:val="20"/>
                <w:szCs w:val="20"/>
                <w:lang w:val="en-GB"/>
              </w:rPr>
              <w:t>capital market operations</w:t>
            </w:r>
          </w:p>
          <w:p w14:paraId="5DFF0F89"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 xml:space="preserve">Models for capital market formation </w:t>
            </w:r>
          </w:p>
          <w:p w14:paraId="1D03D4C3" w14:textId="77777777" w:rsidR="008F14B7"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The ‘attraction’ model of capital market to inflow of FDI</w:t>
            </w:r>
          </w:p>
          <w:p w14:paraId="3705F616" w14:textId="77777777" w:rsidR="008F14B7" w:rsidRPr="00315E16" w:rsidRDefault="008F14B7" w:rsidP="008F14B7">
            <w:pPr>
              <w:pStyle w:val="ListParagraph"/>
              <w:numPr>
                <w:ilvl w:val="0"/>
                <w:numId w:val="4"/>
              </w:numPr>
              <w:autoSpaceDE w:val="0"/>
              <w:autoSpaceDN w:val="0"/>
              <w:spacing w:after="0" w:line="240" w:lineRule="auto"/>
              <w:ind w:left="459" w:hanging="459"/>
              <w:contextualSpacing w:val="0"/>
              <w:rPr>
                <w:sz w:val="20"/>
                <w:szCs w:val="20"/>
                <w:lang w:val="en-GB"/>
              </w:rPr>
            </w:pPr>
            <w:r>
              <w:rPr>
                <w:sz w:val="20"/>
                <w:szCs w:val="20"/>
                <w:lang w:val="en-GB"/>
              </w:rPr>
              <w:t xml:space="preserve">Money market and capital structure of multinational corporations </w:t>
            </w:r>
          </w:p>
        </w:tc>
      </w:tr>
    </w:tbl>
    <w:p w14:paraId="7886E30D" w14:textId="77777777" w:rsidR="005B1550" w:rsidRPr="005B1550" w:rsidRDefault="005B1550">
      <w:pPr>
        <w:rPr>
          <w:lang w:val="en-GB"/>
        </w:rPr>
      </w:pPr>
    </w:p>
    <w:sectPr w:rsidR="005B1550" w:rsidRPr="005B1550" w:rsidSect="0081347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F38B4" w14:textId="77777777" w:rsidR="00813475" w:rsidRDefault="00813475" w:rsidP="006D4AFE">
      <w:pPr>
        <w:spacing w:after="0" w:line="240" w:lineRule="auto"/>
      </w:pPr>
      <w:r>
        <w:separator/>
      </w:r>
    </w:p>
  </w:endnote>
  <w:endnote w:type="continuationSeparator" w:id="0">
    <w:p w14:paraId="79052C00" w14:textId="77777777" w:rsidR="00813475" w:rsidRDefault="00813475" w:rsidP="006D4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298408"/>
      <w:docPartObj>
        <w:docPartGallery w:val="Page Numbers (Bottom of Page)"/>
        <w:docPartUnique/>
      </w:docPartObj>
    </w:sdtPr>
    <w:sdtEndPr>
      <w:rPr>
        <w:noProof/>
      </w:rPr>
    </w:sdtEndPr>
    <w:sdtContent>
      <w:p w14:paraId="7E3E54FE" w14:textId="77777777" w:rsidR="006D4AFE" w:rsidRDefault="006D4AFE">
        <w:pPr>
          <w:pStyle w:val="Footer"/>
          <w:jc w:val="center"/>
        </w:pPr>
        <w:r>
          <w:fldChar w:fldCharType="begin"/>
        </w:r>
        <w:r>
          <w:instrText xml:space="preserve"> PAGE   \* MERGEFORMAT </w:instrText>
        </w:r>
        <w:r>
          <w:fldChar w:fldCharType="separate"/>
        </w:r>
        <w:r w:rsidR="007F3C54">
          <w:rPr>
            <w:noProof/>
          </w:rPr>
          <w:t>1</w:t>
        </w:r>
        <w:r>
          <w:rPr>
            <w:noProof/>
          </w:rPr>
          <w:fldChar w:fldCharType="end"/>
        </w:r>
      </w:p>
    </w:sdtContent>
  </w:sdt>
  <w:p w14:paraId="384F82F1" w14:textId="77777777" w:rsidR="006D4AFE" w:rsidRDefault="006D4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7E747" w14:textId="77777777" w:rsidR="00813475" w:rsidRDefault="00813475" w:rsidP="006D4AFE">
      <w:pPr>
        <w:spacing w:after="0" w:line="240" w:lineRule="auto"/>
      </w:pPr>
      <w:r>
        <w:separator/>
      </w:r>
    </w:p>
  </w:footnote>
  <w:footnote w:type="continuationSeparator" w:id="0">
    <w:p w14:paraId="3C883250" w14:textId="77777777" w:rsidR="00813475" w:rsidRDefault="00813475" w:rsidP="006D4A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EF6"/>
    <w:multiLevelType w:val="hybridMultilevel"/>
    <w:tmpl w:val="E88E4B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4" w15:restartNumberingAfterBreak="0">
    <w:nsid w:val="2E0D5AE7"/>
    <w:multiLevelType w:val="hybridMultilevel"/>
    <w:tmpl w:val="39B64D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43604553">
    <w:abstractNumId w:val="5"/>
  </w:num>
  <w:num w:numId="2" w16cid:durableId="920680941">
    <w:abstractNumId w:val="3"/>
  </w:num>
  <w:num w:numId="3" w16cid:durableId="128865983">
    <w:abstractNumId w:val="1"/>
  </w:num>
  <w:num w:numId="4" w16cid:durableId="2124811019">
    <w:abstractNumId w:val="7"/>
  </w:num>
  <w:num w:numId="5" w16cid:durableId="272980012">
    <w:abstractNumId w:val="0"/>
  </w:num>
  <w:num w:numId="6" w16cid:durableId="974524453">
    <w:abstractNumId w:val="8"/>
  </w:num>
  <w:num w:numId="7" w16cid:durableId="1149900383">
    <w:abstractNumId w:val="2"/>
  </w:num>
  <w:num w:numId="8" w16cid:durableId="641081176">
    <w:abstractNumId w:val="6"/>
  </w:num>
  <w:num w:numId="9" w16cid:durableId="1704210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rS0NDQwNzU3tDQ3MDBX0lEKTi0uzszPAykwrAUAB0wzhiwAAAA="/>
  </w:docVars>
  <w:rsids>
    <w:rsidRoot w:val="005B1550"/>
    <w:rsid w:val="00001DFE"/>
    <w:rsid w:val="00073711"/>
    <w:rsid w:val="0007427C"/>
    <w:rsid w:val="000D3A09"/>
    <w:rsid w:val="000E54E1"/>
    <w:rsid w:val="0014037B"/>
    <w:rsid w:val="001924E1"/>
    <w:rsid w:val="002005CD"/>
    <w:rsid w:val="0021678C"/>
    <w:rsid w:val="00237878"/>
    <w:rsid w:val="0024119A"/>
    <w:rsid w:val="0025770B"/>
    <w:rsid w:val="002A63D1"/>
    <w:rsid w:val="00357599"/>
    <w:rsid w:val="00372133"/>
    <w:rsid w:val="004054AC"/>
    <w:rsid w:val="00436664"/>
    <w:rsid w:val="00446B15"/>
    <w:rsid w:val="00461522"/>
    <w:rsid w:val="004867D1"/>
    <w:rsid w:val="00492A40"/>
    <w:rsid w:val="005616E1"/>
    <w:rsid w:val="005A151B"/>
    <w:rsid w:val="005B1550"/>
    <w:rsid w:val="006807B6"/>
    <w:rsid w:val="00684307"/>
    <w:rsid w:val="006A39EA"/>
    <w:rsid w:val="006D4AFE"/>
    <w:rsid w:val="006F62E3"/>
    <w:rsid w:val="00716A1F"/>
    <w:rsid w:val="00770052"/>
    <w:rsid w:val="007C5B45"/>
    <w:rsid w:val="007F3C54"/>
    <w:rsid w:val="008056E3"/>
    <w:rsid w:val="00813475"/>
    <w:rsid w:val="008322EF"/>
    <w:rsid w:val="008825D9"/>
    <w:rsid w:val="008D6F02"/>
    <w:rsid w:val="008F14B7"/>
    <w:rsid w:val="00910DDD"/>
    <w:rsid w:val="009266C8"/>
    <w:rsid w:val="00935217"/>
    <w:rsid w:val="009A304C"/>
    <w:rsid w:val="00A5129F"/>
    <w:rsid w:val="00A760B0"/>
    <w:rsid w:val="00AB20CF"/>
    <w:rsid w:val="00B252A9"/>
    <w:rsid w:val="00B31A26"/>
    <w:rsid w:val="00BB6051"/>
    <w:rsid w:val="00BD35C5"/>
    <w:rsid w:val="00BF70B0"/>
    <w:rsid w:val="00C07DE3"/>
    <w:rsid w:val="00C116B3"/>
    <w:rsid w:val="00CF43E1"/>
    <w:rsid w:val="00D334DD"/>
    <w:rsid w:val="00D72394"/>
    <w:rsid w:val="00D77D1D"/>
    <w:rsid w:val="00DB67FA"/>
    <w:rsid w:val="00E82636"/>
    <w:rsid w:val="00ED1979"/>
    <w:rsid w:val="00F35A1A"/>
    <w:rsid w:val="00F40D58"/>
    <w:rsid w:val="00F455A2"/>
    <w:rsid w:val="00FD0F4F"/>
    <w:rsid w:val="00FF4CA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72E9E"/>
  <w15:docId w15:val="{8484B356-A25D-4A0B-9F4F-455B24FDD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550"/>
    <w:pPr>
      <w:spacing w:after="200" w:line="276" w:lineRule="auto"/>
    </w:pPr>
    <w:rPr>
      <w:sz w:val="22"/>
      <w:szCs w:val="22"/>
      <w:lang w:val="en-ZA" w:eastAsia="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550"/>
    <w:pPr>
      <w:ind w:left="720"/>
      <w:contextualSpacing/>
    </w:pPr>
  </w:style>
  <w:style w:type="paragraph" w:styleId="BodyText">
    <w:name w:val="Body Text"/>
    <w:basedOn w:val="Normal"/>
    <w:link w:val="BodyTextChar"/>
    <w:rsid w:val="005B1550"/>
    <w:pPr>
      <w:spacing w:after="0" w:line="240" w:lineRule="auto"/>
      <w:jc w:val="both"/>
    </w:pPr>
    <w:rPr>
      <w:rFonts w:ascii="Arial" w:eastAsia="Times New Roman" w:hAnsi="Arial" w:cs="Times New Roman"/>
      <w:sz w:val="24"/>
      <w:szCs w:val="20"/>
      <w:lang w:eastAsia="en-ZA" w:bidi="ar-SA"/>
    </w:rPr>
  </w:style>
  <w:style w:type="character" w:customStyle="1" w:styleId="BodyTextChar">
    <w:name w:val="Body Text Char"/>
    <w:link w:val="BodyText"/>
    <w:rsid w:val="005B1550"/>
    <w:rPr>
      <w:rFonts w:ascii="Arial" w:eastAsia="Times New Roman" w:hAnsi="Arial" w:cs="Times New Roman"/>
      <w:sz w:val="24"/>
      <w:szCs w:val="20"/>
      <w:lang w:eastAsia="en-ZA" w:bidi="ar-SA"/>
    </w:rPr>
  </w:style>
  <w:style w:type="paragraph" w:styleId="NoSpacing">
    <w:name w:val="No Spacing"/>
    <w:uiPriority w:val="1"/>
    <w:qFormat/>
    <w:rsid w:val="00073711"/>
    <w:rPr>
      <w:rFonts w:cs="Times New Roman"/>
      <w:sz w:val="22"/>
      <w:szCs w:val="22"/>
      <w:lang w:eastAsia="en-US"/>
    </w:rPr>
  </w:style>
  <w:style w:type="paragraph" w:styleId="BalloonText">
    <w:name w:val="Balloon Text"/>
    <w:basedOn w:val="Normal"/>
    <w:link w:val="BalloonTextChar"/>
    <w:uiPriority w:val="99"/>
    <w:semiHidden/>
    <w:unhideWhenUsed/>
    <w:rsid w:val="00926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6C8"/>
    <w:rPr>
      <w:rFonts w:ascii="Tahoma" w:hAnsi="Tahoma" w:cs="Tahoma"/>
      <w:sz w:val="16"/>
      <w:szCs w:val="16"/>
      <w:lang w:val="en-ZA" w:bidi="he-IL"/>
    </w:rPr>
  </w:style>
  <w:style w:type="character" w:styleId="Hyperlink">
    <w:name w:val="Hyperlink"/>
    <w:basedOn w:val="DefaultParagraphFont"/>
    <w:uiPriority w:val="99"/>
    <w:unhideWhenUsed/>
    <w:rsid w:val="00716A1F"/>
    <w:rPr>
      <w:color w:val="0000FF" w:themeColor="hyperlink"/>
      <w:u w:val="single"/>
    </w:rPr>
  </w:style>
  <w:style w:type="paragraph" w:styleId="Header">
    <w:name w:val="header"/>
    <w:basedOn w:val="Normal"/>
    <w:link w:val="HeaderChar"/>
    <w:uiPriority w:val="99"/>
    <w:unhideWhenUsed/>
    <w:rsid w:val="006D4A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AFE"/>
    <w:rPr>
      <w:sz w:val="22"/>
      <w:szCs w:val="22"/>
      <w:lang w:val="en-ZA" w:eastAsia="en-US" w:bidi="he-IL"/>
    </w:rPr>
  </w:style>
  <w:style w:type="paragraph" w:styleId="Footer">
    <w:name w:val="footer"/>
    <w:basedOn w:val="Normal"/>
    <w:link w:val="FooterChar"/>
    <w:uiPriority w:val="99"/>
    <w:unhideWhenUsed/>
    <w:rsid w:val="006D4A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AFE"/>
    <w:rPr>
      <w:sz w:val="22"/>
      <w:szCs w:val="22"/>
      <w:lang w:val="en-ZA" w:eastAsia="en-US" w:bidi="he-IL"/>
    </w:rPr>
  </w:style>
  <w:style w:type="character" w:styleId="UnresolvedMention">
    <w:name w:val="Unresolved Mention"/>
    <w:basedOn w:val="DefaultParagraphFont"/>
    <w:uiPriority w:val="99"/>
    <w:semiHidden/>
    <w:unhideWhenUsed/>
    <w:rsid w:val="009352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26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egoekp@unisa.ac.za" TargetMode="External"/><Relationship Id="rId3" Type="http://schemas.openxmlformats.org/officeDocument/2006/relationships/settings" Target="settings.xml"/><Relationship Id="rId7" Type="http://schemas.openxmlformats.org/officeDocument/2006/relationships/hyperlink" Target="mailto:aregbra@unisa.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1642</Words>
  <Characters>9360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Van Wyk, Ireze</cp:lastModifiedBy>
  <cp:revision>4</cp:revision>
  <cp:lastPrinted>2015-03-04T13:34:00Z</cp:lastPrinted>
  <dcterms:created xsi:type="dcterms:W3CDTF">2024-03-20T13:01:00Z</dcterms:created>
  <dcterms:modified xsi:type="dcterms:W3CDTF">2024-03-20T13:05:00Z</dcterms:modified>
</cp:coreProperties>
</file>