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6662"/>
        <w:gridCol w:w="79"/>
      </w:tblGrid>
      <w:tr w:rsidR="00C7453F" w:rsidRPr="00AF3D58" w14:paraId="2C8ED23A" w14:textId="77777777" w:rsidTr="00E96127">
        <w:trPr>
          <w:trHeight w:val="276"/>
        </w:trPr>
        <w:tc>
          <w:tcPr>
            <w:tcW w:w="2547" w:type="dxa"/>
            <w:shd w:val="clear" w:color="auto" w:fill="auto"/>
          </w:tcPr>
          <w:p w14:paraId="359E4F3F" w14:textId="77777777" w:rsidR="00C7453F" w:rsidRPr="00AF3D58" w:rsidRDefault="00C7453F" w:rsidP="00DF00D9">
            <w:pPr>
              <w:spacing w:after="0" w:line="240" w:lineRule="auto"/>
              <w:rPr>
                <w:b/>
                <w:sz w:val="20"/>
                <w:szCs w:val="20"/>
              </w:rPr>
            </w:pPr>
            <w:r w:rsidRPr="00AF3D58">
              <w:rPr>
                <w:b/>
                <w:sz w:val="20"/>
                <w:szCs w:val="20"/>
              </w:rPr>
              <w:t>Department</w:t>
            </w:r>
          </w:p>
        </w:tc>
        <w:tc>
          <w:tcPr>
            <w:tcW w:w="6741" w:type="dxa"/>
            <w:gridSpan w:val="2"/>
            <w:shd w:val="clear" w:color="auto" w:fill="auto"/>
          </w:tcPr>
          <w:p w14:paraId="15530260" w14:textId="77777777" w:rsidR="009C01A9" w:rsidRPr="00AF3D58" w:rsidRDefault="00193B77" w:rsidP="008736F3">
            <w:pPr>
              <w:spacing w:after="0" w:line="240" w:lineRule="auto"/>
              <w:rPr>
                <w:sz w:val="20"/>
                <w:szCs w:val="20"/>
              </w:rPr>
            </w:pPr>
            <w:r w:rsidRPr="00AF3D58">
              <w:rPr>
                <w:sz w:val="20"/>
                <w:szCs w:val="20"/>
              </w:rPr>
              <w:t>Operations Management</w:t>
            </w:r>
          </w:p>
        </w:tc>
      </w:tr>
      <w:tr w:rsidR="00C7453F" w:rsidRPr="00AF3D58" w14:paraId="0C5F7295" w14:textId="77777777" w:rsidTr="00E96127">
        <w:trPr>
          <w:trHeight w:val="276"/>
        </w:trPr>
        <w:tc>
          <w:tcPr>
            <w:tcW w:w="2547" w:type="dxa"/>
            <w:shd w:val="clear" w:color="auto" w:fill="auto"/>
          </w:tcPr>
          <w:p w14:paraId="7E23BB21" w14:textId="77777777" w:rsidR="00C7453F" w:rsidRPr="00AF3D58" w:rsidRDefault="00C7453F" w:rsidP="00DF00D9">
            <w:pPr>
              <w:spacing w:after="0" w:line="240" w:lineRule="auto"/>
              <w:rPr>
                <w:b/>
                <w:sz w:val="20"/>
                <w:szCs w:val="20"/>
              </w:rPr>
            </w:pPr>
            <w:r w:rsidRPr="00AF3D58">
              <w:rPr>
                <w:b/>
                <w:sz w:val="20"/>
                <w:szCs w:val="20"/>
              </w:rPr>
              <w:t>Discipline</w:t>
            </w:r>
          </w:p>
        </w:tc>
        <w:tc>
          <w:tcPr>
            <w:tcW w:w="6741" w:type="dxa"/>
            <w:gridSpan w:val="2"/>
            <w:shd w:val="clear" w:color="auto" w:fill="auto"/>
          </w:tcPr>
          <w:p w14:paraId="3BCEECCE" w14:textId="77777777" w:rsidR="009C01A9" w:rsidRPr="00AF3D58" w:rsidRDefault="00193B77" w:rsidP="00193B77">
            <w:pPr>
              <w:spacing w:after="0" w:line="240" w:lineRule="auto"/>
              <w:rPr>
                <w:sz w:val="20"/>
                <w:szCs w:val="20"/>
              </w:rPr>
            </w:pPr>
            <w:r w:rsidRPr="00AF3D58">
              <w:rPr>
                <w:sz w:val="20"/>
                <w:szCs w:val="20"/>
              </w:rPr>
              <w:t>Occupational Health &amp; Safety (OHS) Management</w:t>
            </w:r>
          </w:p>
        </w:tc>
      </w:tr>
      <w:tr w:rsidR="00B450DF" w:rsidRPr="00AF3D58" w14:paraId="116FE54E" w14:textId="77777777" w:rsidTr="00E96127">
        <w:tc>
          <w:tcPr>
            <w:tcW w:w="2547" w:type="dxa"/>
            <w:tcBorders>
              <w:bottom w:val="single" w:sz="4" w:space="0" w:color="auto"/>
            </w:tcBorders>
            <w:shd w:val="clear" w:color="auto" w:fill="auto"/>
          </w:tcPr>
          <w:p w14:paraId="44BB6624" w14:textId="77777777" w:rsidR="00B450DF" w:rsidRPr="00AF3D58" w:rsidRDefault="00B450DF" w:rsidP="00B450DF">
            <w:pPr>
              <w:spacing w:after="0" w:line="240" w:lineRule="auto"/>
              <w:rPr>
                <w:b/>
                <w:sz w:val="20"/>
                <w:szCs w:val="20"/>
              </w:rPr>
            </w:pPr>
            <w:r w:rsidRPr="00AF3D58">
              <w:rPr>
                <w:b/>
                <w:sz w:val="20"/>
                <w:szCs w:val="20"/>
              </w:rPr>
              <w:t>Broad Research Focus Area</w:t>
            </w:r>
          </w:p>
        </w:tc>
        <w:tc>
          <w:tcPr>
            <w:tcW w:w="6741" w:type="dxa"/>
            <w:gridSpan w:val="2"/>
            <w:tcBorders>
              <w:bottom w:val="single" w:sz="4" w:space="0" w:color="auto"/>
            </w:tcBorders>
            <w:shd w:val="clear" w:color="auto" w:fill="auto"/>
          </w:tcPr>
          <w:p w14:paraId="644A4CC4" w14:textId="6E4B849C" w:rsidR="00B450DF" w:rsidRPr="00AF3D58" w:rsidRDefault="00835D5F" w:rsidP="00B450DF">
            <w:pPr>
              <w:spacing w:after="0" w:line="240" w:lineRule="auto"/>
              <w:rPr>
                <w:b/>
                <w:sz w:val="20"/>
                <w:szCs w:val="20"/>
              </w:rPr>
            </w:pPr>
            <w:r>
              <w:rPr>
                <w:sz w:val="20"/>
                <w:szCs w:val="20"/>
              </w:rPr>
              <w:t>Disaster risk management</w:t>
            </w:r>
            <w:r w:rsidR="00B201B1">
              <w:rPr>
                <w:sz w:val="20"/>
                <w:szCs w:val="20"/>
              </w:rPr>
              <w:t xml:space="preserve"> and emergency preparedness</w:t>
            </w:r>
          </w:p>
        </w:tc>
      </w:tr>
      <w:tr w:rsidR="00A912F2" w:rsidRPr="00AF3D58" w14:paraId="288F38C1" w14:textId="77777777" w:rsidTr="00E96127">
        <w:tc>
          <w:tcPr>
            <w:tcW w:w="2547" w:type="dxa"/>
            <w:tcBorders>
              <w:bottom w:val="single" w:sz="4" w:space="0" w:color="auto"/>
            </w:tcBorders>
            <w:shd w:val="clear" w:color="auto" w:fill="auto"/>
          </w:tcPr>
          <w:p w14:paraId="0CBC9C9C" w14:textId="77777777" w:rsidR="00A912F2" w:rsidRPr="00AF3D58" w:rsidRDefault="00A912F2" w:rsidP="00B450DF">
            <w:pPr>
              <w:spacing w:after="0" w:line="240" w:lineRule="auto"/>
              <w:rPr>
                <w:b/>
                <w:sz w:val="20"/>
                <w:szCs w:val="20"/>
              </w:rPr>
            </w:pPr>
            <w:r>
              <w:rPr>
                <w:b/>
                <w:sz w:val="20"/>
                <w:szCs w:val="20"/>
              </w:rPr>
              <w:t xml:space="preserve">Note to students </w:t>
            </w:r>
          </w:p>
        </w:tc>
        <w:tc>
          <w:tcPr>
            <w:tcW w:w="6741" w:type="dxa"/>
            <w:gridSpan w:val="2"/>
            <w:tcBorders>
              <w:bottom w:val="single" w:sz="4" w:space="0" w:color="auto"/>
            </w:tcBorders>
            <w:shd w:val="clear" w:color="auto" w:fill="auto"/>
          </w:tcPr>
          <w:p w14:paraId="3AD0B3C9" w14:textId="77777777" w:rsidR="00A912F2" w:rsidRDefault="00A912F2" w:rsidP="00A912F2">
            <w:pPr>
              <w:spacing w:after="0" w:line="240" w:lineRule="auto"/>
              <w:rPr>
                <w:rFonts w:asciiTheme="minorHAnsi" w:hAnsiTheme="minorHAnsi"/>
                <w:color w:val="000000"/>
                <w:sz w:val="20"/>
              </w:rPr>
            </w:pPr>
            <w:r w:rsidRPr="00A723C9">
              <w:rPr>
                <w:rFonts w:asciiTheme="minorHAnsi" w:hAnsiTheme="minorHAnsi"/>
                <w:b/>
                <w:bCs/>
                <w:color w:val="000000"/>
                <w:sz w:val="20"/>
              </w:rPr>
              <w:t>The “Research Focus Area” is not your topic.</w:t>
            </w:r>
            <w:r w:rsidRPr="00A723C9">
              <w:rPr>
                <w:rFonts w:asciiTheme="minorHAnsi" w:hAnsiTheme="minorHAnsi"/>
                <w:color w:val="000000"/>
                <w:sz w:val="20"/>
              </w:rPr>
              <w:t xml:space="preserve"> </w:t>
            </w:r>
          </w:p>
          <w:p w14:paraId="738DF8D0" w14:textId="77777777" w:rsidR="00A912F2" w:rsidRPr="00AF3D58" w:rsidRDefault="00A912F2" w:rsidP="00A912F2">
            <w:pPr>
              <w:spacing w:after="0" w:line="240" w:lineRule="auto"/>
              <w:rPr>
                <w:sz w:val="20"/>
                <w:szCs w:val="20"/>
              </w:rPr>
            </w:pPr>
            <w:r w:rsidRPr="00A723C9">
              <w:rPr>
                <w:rFonts w:asciiTheme="minorHAnsi" w:hAnsiTheme="minorHAnsi"/>
                <w:color w:val="000000"/>
                <w:sz w:val="20"/>
              </w:rPr>
              <w:t xml:space="preserve">You need to find a topic that is relevant to the area described above. Your research should not just be a repetition of issues already researched. Look at burning issues and topics that could make a difference </w:t>
            </w:r>
            <w:r>
              <w:rPr>
                <w:rFonts w:asciiTheme="minorHAnsi" w:hAnsiTheme="minorHAnsi"/>
                <w:color w:val="000000"/>
                <w:sz w:val="20"/>
              </w:rPr>
              <w:t>in strategic safety and safety risk management.</w:t>
            </w:r>
          </w:p>
        </w:tc>
      </w:tr>
      <w:tr w:rsidR="009564FB" w:rsidRPr="00F5083A" w14:paraId="714B793D" w14:textId="77777777" w:rsidTr="00E96127">
        <w:trPr>
          <w:gridAfter w:val="1"/>
          <w:wAfter w:w="79" w:type="dxa"/>
        </w:trPr>
        <w:tc>
          <w:tcPr>
            <w:tcW w:w="2547" w:type="dxa"/>
            <w:tcBorders>
              <w:bottom w:val="single" w:sz="4" w:space="0" w:color="auto"/>
            </w:tcBorders>
            <w:shd w:val="clear" w:color="auto" w:fill="auto"/>
          </w:tcPr>
          <w:p w14:paraId="6852BD89" w14:textId="7DCF0EE4" w:rsidR="009564FB" w:rsidRDefault="009564FB" w:rsidP="00AB3200">
            <w:pPr>
              <w:spacing w:after="0" w:line="240" w:lineRule="auto"/>
              <w:rPr>
                <w:b/>
                <w:sz w:val="20"/>
                <w:szCs w:val="20"/>
              </w:rPr>
            </w:pPr>
            <w:r>
              <w:rPr>
                <w:b/>
                <w:sz w:val="20"/>
                <w:szCs w:val="20"/>
              </w:rPr>
              <w:t>Total Capacity for 202</w:t>
            </w:r>
            <w:r w:rsidR="00CE02EE">
              <w:rPr>
                <w:b/>
                <w:sz w:val="20"/>
                <w:szCs w:val="20"/>
              </w:rPr>
              <w:t>5</w:t>
            </w:r>
          </w:p>
        </w:tc>
        <w:tc>
          <w:tcPr>
            <w:tcW w:w="6662" w:type="dxa"/>
            <w:tcBorders>
              <w:bottom w:val="single" w:sz="4" w:space="0" w:color="auto"/>
            </w:tcBorders>
            <w:shd w:val="clear" w:color="auto" w:fill="auto"/>
          </w:tcPr>
          <w:p w14:paraId="493E2CDA" w14:textId="4B61535E" w:rsidR="009564FB" w:rsidRPr="00F5083A" w:rsidRDefault="00011FCF" w:rsidP="00AB3200">
            <w:pPr>
              <w:spacing w:after="0" w:line="240" w:lineRule="auto"/>
              <w:rPr>
                <w:sz w:val="20"/>
                <w:szCs w:val="20"/>
              </w:rPr>
            </w:pPr>
            <w:r>
              <w:rPr>
                <w:sz w:val="20"/>
                <w:szCs w:val="20"/>
              </w:rPr>
              <w:t>1Phd &amp; 1 M</w:t>
            </w:r>
            <w:r w:rsidR="009564FB" w:rsidRPr="00AF3D58">
              <w:rPr>
                <w:sz w:val="20"/>
                <w:szCs w:val="20"/>
              </w:rPr>
              <w:t xml:space="preserve"> Master’s</w:t>
            </w:r>
          </w:p>
        </w:tc>
      </w:tr>
    </w:tbl>
    <w:p w14:paraId="5DA043B7" w14:textId="77777777" w:rsidR="009564FB" w:rsidRDefault="009564FB" w:rsidP="009564FB">
      <w:pPr>
        <w:spacing w:after="0"/>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9"/>
        <w:gridCol w:w="5499"/>
        <w:gridCol w:w="29"/>
        <w:gridCol w:w="1213"/>
      </w:tblGrid>
      <w:tr w:rsidR="00B450DF" w:rsidRPr="00AF3D58" w14:paraId="40C98FAE" w14:textId="77777777" w:rsidTr="003023C3">
        <w:trPr>
          <w:trHeight w:val="190"/>
        </w:trPr>
        <w:tc>
          <w:tcPr>
            <w:tcW w:w="2518" w:type="dxa"/>
            <w:shd w:val="clear" w:color="auto" w:fill="D9D9D9" w:themeFill="background1" w:themeFillShade="D9"/>
          </w:tcPr>
          <w:p w14:paraId="33A4A09F" w14:textId="77777777" w:rsidR="00B450DF" w:rsidRPr="00AF3D58" w:rsidRDefault="00B450DF" w:rsidP="00B450DF">
            <w:pPr>
              <w:spacing w:after="0" w:line="240" w:lineRule="auto"/>
              <w:rPr>
                <w:b/>
                <w:bCs/>
                <w:sz w:val="20"/>
                <w:szCs w:val="20"/>
              </w:rPr>
            </w:pPr>
            <w:r w:rsidRPr="00AF3D58">
              <w:rPr>
                <w:b/>
                <w:sz w:val="20"/>
                <w:szCs w:val="20"/>
              </w:rPr>
              <w:t>Supervision Team details:</w:t>
            </w:r>
          </w:p>
        </w:tc>
        <w:tc>
          <w:tcPr>
            <w:tcW w:w="5528" w:type="dxa"/>
            <w:gridSpan w:val="2"/>
            <w:shd w:val="clear" w:color="auto" w:fill="D9D9D9" w:themeFill="background1" w:themeFillShade="D9"/>
          </w:tcPr>
          <w:p w14:paraId="4DB2D278" w14:textId="77777777" w:rsidR="00B450DF" w:rsidRPr="00AF3D58" w:rsidRDefault="00B450DF" w:rsidP="00B450DF">
            <w:pPr>
              <w:spacing w:after="0" w:line="240" w:lineRule="auto"/>
              <w:rPr>
                <w:b/>
                <w:bCs/>
                <w:sz w:val="20"/>
                <w:szCs w:val="20"/>
              </w:rPr>
            </w:pPr>
            <w:r w:rsidRPr="00AF3D58">
              <w:rPr>
                <w:b/>
                <w:bCs/>
                <w:sz w:val="20"/>
                <w:szCs w:val="20"/>
              </w:rPr>
              <w:t>Academic Profile</w:t>
            </w:r>
          </w:p>
        </w:tc>
        <w:tc>
          <w:tcPr>
            <w:tcW w:w="1242" w:type="dxa"/>
            <w:gridSpan w:val="2"/>
            <w:shd w:val="clear" w:color="auto" w:fill="D9D9D9" w:themeFill="background1" w:themeFillShade="D9"/>
          </w:tcPr>
          <w:p w14:paraId="60413636" w14:textId="77777777" w:rsidR="00B450DF" w:rsidRPr="00AF3D58" w:rsidRDefault="00B450DF" w:rsidP="00B450DF">
            <w:pPr>
              <w:spacing w:after="0" w:line="240" w:lineRule="auto"/>
              <w:rPr>
                <w:b/>
                <w:bCs/>
                <w:sz w:val="20"/>
                <w:szCs w:val="20"/>
              </w:rPr>
            </w:pPr>
            <w:r w:rsidRPr="00AF3D58">
              <w:rPr>
                <w:b/>
                <w:bCs/>
                <w:sz w:val="20"/>
                <w:szCs w:val="20"/>
              </w:rPr>
              <w:t>Capacity</w:t>
            </w:r>
          </w:p>
        </w:tc>
      </w:tr>
      <w:tr w:rsidR="00835D5F" w:rsidRPr="00AF3D58" w14:paraId="3089F26B" w14:textId="77777777" w:rsidTr="009564FB">
        <w:trPr>
          <w:trHeight w:val="1358"/>
        </w:trPr>
        <w:tc>
          <w:tcPr>
            <w:tcW w:w="2518" w:type="dxa"/>
            <w:shd w:val="clear" w:color="auto" w:fill="auto"/>
          </w:tcPr>
          <w:p w14:paraId="034767A5" w14:textId="77777777" w:rsidR="00835D5F" w:rsidRPr="00AF3D58" w:rsidRDefault="00835D5F" w:rsidP="00835D5F">
            <w:pPr>
              <w:spacing w:after="0" w:line="240" w:lineRule="auto"/>
              <w:rPr>
                <w:b/>
                <w:bCs/>
                <w:sz w:val="20"/>
                <w:szCs w:val="20"/>
              </w:rPr>
            </w:pPr>
            <w:r>
              <w:rPr>
                <w:b/>
                <w:bCs/>
                <w:sz w:val="20"/>
                <w:szCs w:val="20"/>
              </w:rPr>
              <w:t>Dr</w:t>
            </w:r>
            <w:r w:rsidRPr="00AF3D58">
              <w:rPr>
                <w:b/>
                <w:bCs/>
                <w:sz w:val="20"/>
                <w:szCs w:val="20"/>
              </w:rPr>
              <w:t xml:space="preserve"> Cheryl Rielander</w:t>
            </w:r>
          </w:p>
          <w:p w14:paraId="655FE514" w14:textId="77777777" w:rsidR="00835D5F" w:rsidRPr="00AF3D58" w:rsidRDefault="00835D5F" w:rsidP="00835D5F">
            <w:pPr>
              <w:spacing w:after="0" w:line="240" w:lineRule="auto"/>
              <w:rPr>
                <w:sz w:val="20"/>
                <w:szCs w:val="20"/>
              </w:rPr>
            </w:pPr>
            <w:r w:rsidRPr="00AF3D58">
              <w:rPr>
                <w:sz w:val="20"/>
                <w:szCs w:val="20"/>
              </w:rPr>
              <w:t>Office: 012 429 2497</w:t>
            </w:r>
          </w:p>
          <w:p w14:paraId="2AE41CB1" w14:textId="77777777" w:rsidR="00835D5F" w:rsidRPr="00AF3D58" w:rsidRDefault="00835D5F" w:rsidP="00835D5F">
            <w:pPr>
              <w:spacing w:after="0" w:line="240" w:lineRule="auto"/>
              <w:rPr>
                <w:sz w:val="20"/>
                <w:szCs w:val="20"/>
              </w:rPr>
            </w:pPr>
            <w:r w:rsidRPr="00AF3D58">
              <w:rPr>
                <w:sz w:val="20"/>
                <w:szCs w:val="20"/>
              </w:rPr>
              <w:t>Email: rielacl@unisa.ac.za</w:t>
            </w:r>
          </w:p>
          <w:p w14:paraId="0C2D766A" w14:textId="77777777" w:rsidR="00835D5F" w:rsidRDefault="00835D5F" w:rsidP="00835D5F">
            <w:r w:rsidRPr="00AF3D58">
              <w:rPr>
                <w:sz w:val="20"/>
                <w:szCs w:val="20"/>
              </w:rPr>
              <w:t>ORCID </w:t>
            </w:r>
            <w:r>
              <w:rPr>
                <w:sz w:val="20"/>
                <w:szCs w:val="20"/>
              </w:rPr>
              <w:t xml:space="preserve"> </w:t>
            </w:r>
            <w:hyperlink r:id="rId8" w:history="1">
              <w:r>
                <w:rPr>
                  <w:rStyle w:val="Hyperlink"/>
                </w:rPr>
                <w:t>https://orcid.org/0000-0002-4624-5033</w:t>
              </w:r>
            </w:hyperlink>
          </w:p>
          <w:p w14:paraId="79185B22" w14:textId="77777777" w:rsidR="00835D5F" w:rsidRPr="00AF3D58" w:rsidRDefault="00835D5F" w:rsidP="00835D5F">
            <w:pPr>
              <w:spacing w:after="0" w:line="240" w:lineRule="auto"/>
              <w:rPr>
                <w:b/>
                <w:bCs/>
                <w:sz w:val="20"/>
                <w:szCs w:val="20"/>
              </w:rPr>
            </w:pPr>
          </w:p>
        </w:tc>
        <w:tc>
          <w:tcPr>
            <w:tcW w:w="5557" w:type="dxa"/>
            <w:gridSpan w:val="3"/>
            <w:shd w:val="clear" w:color="auto" w:fill="auto"/>
          </w:tcPr>
          <w:p w14:paraId="47247841" w14:textId="77777777" w:rsidR="00835D5F" w:rsidRDefault="00835D5F" w:rsidP="00835D5F">
            <w:pPr>
              <w:spacing w:after="0" w:line="240" w:lineRule="auto"/>
              <w:jc w:val="both"/>
              <w:rPr>
                <w:bCs/>
                <w:sz w:val="20"/>
                <w:szCs w:val="20"/>
                <w:lang w:eastAsia="en-ZA"/>
              </w:rPr>
            </w:pPr>
            <w:r>
              <w:rPr>
                <w:bCs/>
                <w:sz w:val="20"/>
                <w:szCs w:val="20"/>
                <w:lang w:eastAsia="en-ZA"/>
              </w:rPr>
              <w:t xml:space="preserve">Cheryl Rielander is employed at Unisa as a senior lecturer in safety management in the Department of Operations Management. She was previously employed by the South African National Defence force (1983 – 2015). She has been involved in occupational health and safety in the medical environment since 1994. Cheryl is the author of a number of textbooks and textbook chapters in a series of safety management textbooks. Cheryl is registered with the South African Institute for Occupational Safety and Health (SAIOSH) as a graduate member. </w:t>
            </w:r>
          </w:p>
          <w:p w14:paraId="5D2634D8" w14:textId="77777777" w:rsidR="00835D5F" w:rsidRDefault="00835D5F" w:rsidP="00835D5F">
            <w:pPr>
              <w:spacing w:after="0" w:line="240" w:lineRule="auto"/>
              <w:jc w:val="both"/>
              <w:rPr>
                <w:bCs/>
                <w:sz w:val="20"/>
                <w:szCs w:val="20"/>
                <w:lang w:eastAsia="en-ZA"/>
              </w:rPr>
            </w:pPr>
          </w:p>
          <w:p w14:paraId="1DC63D81" w14:textId="640367E0" w:rsidR="00835D5F" w:rsidRDefault="00835D5F" w:rsidP="00835D5F">
            <w:pPr>
              <w:spacing w:after="0" w:line="240" w:lineRule="auto"/>
              <w:jc w:val="both"/>
              <w:rPr>
                <w:bCs/>
                <w:sz w:val="20"/>
                <w:szCs w:val="20"/>
                <w:lang w:eastAsia="en-ZA"/>
              </w:rPr>
            </w:pPr>
            <w:r>
              <w:rPr>
                <w:bCs/>
                <w:sz w:val="20"/>
                <w:szCs w:val="20"/>
                <w:lang w:eastAsia="en-ZA"/>
              </w:rPr>
              <w:t>Cheryl has completed her PhD in management studies with a focus on safety risk management. She holds a Master’s degree in Safety Management through Columbia Southern University</w:t>
            </w:r>
            <w:r w:rsidR="00E96127">
              <w:rPr>
                <w:bCs/>
                <w:sz w:val="20"/>
                <w:szCs w:val="20"/>
                <w:lang w:eastAsia="en-ZA"/>
              </w:rPr>
              <w:t xml:space="preserve"> (Sum Cu Laude)</w:t>
            </w:r>
            <w:r>
              <w:rPr>
                <w:bCs/>
                <w:sz w:val="20"/>
                <w:szCs w:val="20"/>
                <w:lang w:eastAsia="en-ZA"/>
              </w:rPr>
              <w:t xml:space="preserve">. She also has extensive knowledge related to the field of health and holds several Diplomas in Nursing and a Certificate in Occupational Health Nursing which provides a unique perspective on the various disciplines in occupational health and safety. Cheryl completed various short courses relating to Occupational health and Hygiene. Other short courses that Cheryl completed in Safety Management includes SAMTRACK, assessors, moderators, and design and development courses to name but a few. </w:t>
            </w:r>
          </w:p>
          <w:p w14:paraId="119C667A" w14:textId="77777777" w:rsidR="00835D5F" w:rsidRPr="00FF4E37" w:rsidRDefault="00835D5F" w:rsidP="00835D5F">
            <w:pPr>
              <w:spacing w:after="0" w:line="240" w:lineRule="auto"/>
              <w:jc w:val="both"/>
              <w:rPr>
                <w:rFonts w:asciiTheme="minorHAnsi" w:hAnsiTheme="minorHAnsi"/>
                <w:b/>
                <w:bCs/>
                <w:sz w:val="20"/>
                <w:szCs w:val="20"/>
              </w:rPr>
            </w:pPr>
          </w:p>
        </w:tc>
        <w:tc>
          <w:tcPr>
            <w:tcW w:w="1213" w:type="dxa"/>
            <w:shd w:val="clear" w:color="auto" w:fill="auto"/>
          </w:tcPr>
          <w:p w14:paraId="59323B14" w14:textId="77777777" w:rsidR="00835D5F" w:rsidRDefault="00835D5F" w:rsidP="00835D5F">
            <w:pPr>
              <w:spacing w:after="0" w:line="240" w:lineRule="auto"/>
              <w:rPr>
                <w:sz w:val="20"/>
                <w:szCs w:val="20"/>
                <w:lang w:eastAsia="en-ZA"/>
              </w:rPr>
            </w:pPr>
            <w:r>
              <w:rPr>
                <w:sz w:val="20"/>
                <w:szCs w:val="20"/>
                <w:lang w:eastAsia="en-ZA"/>
              </w:rPr>
              <w:t xml:space="preserve">1 PhD or </w:t>
            </w:r>
          </w:p>
          <w:p w14:paraId="77115776" w14:textId="77777777" w:rsidR="00835D5F" w:rsidRDefault="00835D5F" w:rsidP="00835D5F">
            <w:pPr>
              <w:spacing w:after="0" w:line="240" w:lineRule="auto"/>
              <w:rPr>
                <w:sz w:val="20"/>
                <w:szCs w:val="20"/>
                <w:lang w:eastAsia="en-ZA"/>
              </w:rPr>
            </w:pPr>
            <w:r>
              <w:rPr>
                <w:sz w:val="20"/>
                <w:szCs w:val="20"/>
                <w:lang w:eastAsia="en-ZA"/>
              </w:rPr>
              <w:t>1 Master’s</w:t>
            </w:r>
          </w:p>
          <w:p w14:paraId="76D3A5BB" w14:textId="06D710A8" w:rsidR="00835D5F" w:rsidRPr="00AF3D58" w:rsidRDefault="00835D5F" w:rsidP="00835D5F">
            <w:pPr>
              <w:spacing w:after="0" w:line="240" w:lineRule="auto"/>
              <w:rPr>
                <w:sz w:val="20"/>
                <w:szCs w:val="20"/>
              </w:rPr>
            </w:pPr>
          </w:p>
        </w:tc>
      </w:tr>
      <w:tr w:rsidR="00835D5F" w:rsidRPr="00AF3D58" w14:paraId="06A32C2E" w14:textId="77777777" w:rsidTr="005C69F4">
        <w:trPr>
          <w:trHeight w:val="1358"/>
        </w:trPr>
        <w:tc>
          <w:tcPr>
            <w:tcW w:w="2518" w:type="dxa"/>
            <w:shd w:val="clear" w:color="auto" w:fill="auto"/>
          </w:tcPr>
          <w:p w14:paraId="2916C2E6" w14:textId="77777777" w:rsidR="00835D5F" w:rsidRPr="00AF3D58" w:rsidRDefault="00835D5F" w:rsidP="00835D5F">
            <w:pPr>
              <w:spacing w:after="0" w:line="240" w:lineRule="auto"/>
              <w:rPr>
                <w:b/>
                <w:bCs/>
                <w:sz w:val="20"/>
                <w:szCs w:val="20"/>
              </w:rPr>
            </w:pPr>
            <w:r w:rsidRPr="00AF3D58">
              <w:rPr>
                <w:b/>
                <w:bCs/>
                <w:sz w:val="20"/>
                <w:szCs w:val="20"/>
              </w:rPr>
              <w:t xml:space="preserve">Mr John </w:t>
            </w:r>
            <w:r w:rsidRPr="00FF4E37">
              <w:rPr>
                <w:b/>
                <w:bCs/>
                <w:sz w:val="20"/>
                <w:szCs w:val="20"/>
              </w:rPr>
              <w:t>Mashala</w:t>
            </w:r>
          </w:p>
          <w:p w14:paraId="693FBDE8" w14:textId="77777777" w:rsidR="00835D5F" w:rsidRPr="00AF3D58" w:rsidRDefault="00835D5F" w:rsidP="00835D5F">
            <w:pPr>
              <w:spacing w:after="0" w:line="240" w:lineRule="auto"/>
              <w:rPr>
                <w:b/>
                <w:sz w:val="20"/>
                <w:szCs w:val="20"/>
              </w:rPr>
            </w:pPr>
            <w:r w:rsidRPr="00AF3D58">
              <w:rPr>
                <w:rStyle w:val="FootnoteReference"/>
                <w:b/>
                <w:sz w:val="20"/>
                <w:szCs w:val="20"/>
              </w:rPr>
              <w:footnoteReference w:id="1"/>
            </w:r>
            <w:r w:rsidRPr="00AF3D58">
              <w:rPr>
                <w:b/>
                <w:sz w:val="20"/>
                <w:szCs w:val="20"/>
              </w:rPr>
              <w:t>(Contact person for this focus area)</w:t>
            </w:r>
          </w:p>
          <w:p w14:paraId="4D654AA4" w14:textId="77777777" w:rsidR="00835D5F" w:rsidRPr="00AF3D58" w:rsidRDefault="00835D5F" w:rsidP="00835D5F">
            <w:pPr>
              <w:spacing w:after="0" w:line="240" w:lineRule="auto"/>
              <w:rPr>
                <w:sz w:val="20"/>
                <w:szCs w:val="20"/>
              </w:rPr>
            </w:pPr>
            <w:r w:rsidRPr="00AF3D58">
              <w:rPr>
                <w:sz w:val="20"/>
                <w:szCs w:val="20"/>
              </w:rPr>
              <w:t>Office: 012 429 Office: 012 429 4166</w:t>
            </w:r>
          </w:p>
          <w:p w14:paraId="41ED5BDB" w14:textId="77777777" w:rsidR="00835D5F" w:rsidRPr="00AF3D58" w:rsidRDefault="00835D5F" w:rsidP="00835D5F">
            <w:pPr>
              <w:spacing w:after="0" w:line="240" w:lineRule="auto"/>
              <w:rPr>
                <w:sz w:val="20"/>
                <w:szCs w:val="20"/>
              </w:rPr>
            </w:pPr>
            <w:r w:rsidRPr="00AF3D58">
              <w:rPr>
                <w:sz w:val="20"/>
                <w:szCs w:val="20"/>
              </w:rPr>
              <w:t>Email: masjajj@unisa.ac.za</w:t>
            </w:r>
          </w:p>
          <w:p w14:paraId="49E9B813" w14:textId="77777777" w:rsidR="00835D5F" w:rsidRDefault="00835D5F" w:rsidP="00835D5F">
            <w:pPr>
              <w:ind w:left="34"/>
              <w:rPr>
                <w:rFonts w:ascii="Arial" w:hAnsi="Arial"/>
                <w:sz w:val="18"/>
                <w:szCs w:val="18"/>
              </w:rPr>
            </w:pPr>
            <w:r>
              <w:rPr>
                <w:sz w:val="20"/>
                <w:szCs w:val="20"/>
              </w:rPr>
              <w:t xml:space="preserve">ORCID : </w:t>
            </w:r>
            <w:hyperlink r:id="rId9" w:history="1">
              <w:r>
                <w:rPr>
                  <w:rStyle w:val="Hyperlink"/>
                  <w:rFonts w:ascii="Arial" w:hAnsi="Arial"/>
                  <w:sz w:val="18"/>
                  <w:szCs w:val="18"/>
                </w:rPr>
                <w:t>https://orcid.org/0000-0002-0975-8948</w:t>
              </w:r>
            </w:hyperlink>
          </w:p>
          <w:p w14:paraId="5FB12706" w14:textId="33DB8FEA" w:rsidR="00835D5F" w:rsidRPr="00AF3D58" w:rsidRDefault="00835D5F" w:rsidP="00835D5F">
            <w:pPr>
              <w:spacing w:after="0" w:line="240" w:lineRule="auto"/>
              <w:rPr>
                <w:b/>
                <w:bCs/>
                <w:sz w:val="20"/>
                <w:szCs w:val="20"/>
              </w:rPr>
            </w:pPr>
          </w:p>
        </w:tc>
        <w:tc>
          <w:tcPr>
            <w:tcW w:w="5528" w:type="dxa"/>
            <w:gridSpan w:val="2"/>
            <w:shd w:val="clear" w:color="auto" w:fill="auto"/>
          </w:tcPr>
          <w:p w14:paraId="2288625A" w14:textId="77777777" w:rsidR="00835D5F" w:rsidRPr="00FF4E37" w:rsidRDefault="00835D5F" w:rsidP="00835D5F">
            <w:pPr>
              <w:pStyle w:val="NoSpacing"/>
              <w:jc w:val="both"/>
              <w:rPr>
                <w:rFonts w:asciiTheme="minorHAnsi" w:hAnsiTheme="minorHAnsi"/>
                <w:sz w:val="20"/>
              </w:rPr>
            </w:pPr>
            <w:r w:rsidRPr="00FF4E37">
              <w:rPr>
                <w:rFonts w:asciiTheme="minorHAnsi" w:hAnsiTheme="minorHAnsi" w:cs="Arial"/>
                <w:b/>
                <w:sz w:val="20"/>
              </w:rPr>
              <w:t>John Mashala</w:t>
            </w:r>
            <w:r w:rsidRPr="00FF4E37">
              <w:rPr>
                <w:rFonts w:asciiTheme="minorHAnsi" w:hAnsiTheme="minorHAnsi" w:cs="Arial"/>
                <w:sz w:val="20"/>
              </w:rPr>
              <w:t xml:space="preserve"> worked for 3M South Africa for 13 years in various departments. He subsequently joined Afrox where he worked for 4 years as a transport distribution planner. He further joined (TUT) Tshwane University of Technology as a Lecturer for 17 years in the Department of Operations Management. </w:t>
            </w:r>
            <w:r w:rsidRPr="00FF4E37">
              <w:rPr>
                <w:rFonts w:asciiTheme="minorHAnsi" w:hAnsiTheme="minorHAnsi" w:cs="Arial"/>
                <w:sz w:val="20"/>
                <w:lang w:val="en-US"/>
              </w:rPr>
              <w:t>He</w:t>
            </w:r>
            <w:r w:rsidRPr="00FF4E37">
              <w:rPr>
                <w:rFonts w:asciiTheme="minorHAnsi" w:hAnsiTheme="minorHAnsi" w:cs="Arial"/>
                <w:sz w:val="20"/>
              </w:rPr>
              <w:t xml:space="preserve"> earned his National Diploma</w:t>
            </w:r>
            <w:r w:rsidRPr="00FF4E37">
              <w:rPr>
                <w:rFonts w:asciiTheme="minorHAnsi" w:hAnsiTheme="minorHAnsi" w:cs="Arial"/>
                <w:sz w:val="20"/>
                <w:lang w:val="en-ZA"/>
              </w:rPr>
              <w:t xml:space="preserve"> </w:t>
            </w:r>
            <w:r w:rsidRPr="00FF4E37">
              <w:rPr>
                <w:rFonts w:asciiTheme="minorHAnsi" w:hAnsiTheme="minorHAnsi" w:cs="Arial"/>
                <w:sz w:val="20"/>
              </w:rPr>
              <w:t xml:space="preserve">at the then Technikon Johannesburg, B Tech Degree at Technikon Pretoria and (MTech) </w:t>
            </w:r>
            <w:proofErr w:type="spellStart"/>
            <w:proofErr w:type="gramStart"/>
            <w:r w:rsidRPr="00FF4E37">
              <w:rPr>
                <w:rFonts w:asciiTheme="minorHAnsi" w:hAnsiTheme="minorHAnsi" w:cs="Arial"/>
                <w:sz w:val="20"/>
              </w:rPr>
              <w:t>Masters</w:t>
            </w:r>
            <w:proofErr w:type="spellEnd"/>
            <w:r w:rsidRPr="00FF4E37">
              <w:rPr>
                <w:rFonts w:asciiTheme="minorHAnsi" w:hAnsiTheme="minorHAnsi" w:cs="Arial"/>
                <w:sz w:val="20"/>
              </w:rPr>
              <w:t xml:space="preserve"> degree in Technology</w:t>
            </w:r>
            <w:proofErr w:type="gramEnd"/>
            <w:r w:rsidRPr="00FF4E37">
              <w:rPr>
                <w:rFonts w:asciiTheme="minorHAnsi" w:hAnsiTheme="minorHAnsi" w:cs="Arial"/>
                <w:sz w:val="20"/>
              </w:rPr>
              <w:t xml:space="preserve"> at TUT. John taught Production Engineering: Industrial I, Production Planning </w:t>
            </w:r>
            <w:r w:rsidRPr="00FF4E37">
              <w:rPr>
                <w:rFonts w:asciiTheme="minorHAnsi" w:eastAsia="MS Mincho" w:hAnsiTheme="minorHAnsi" w:cs="Arial"/>
                <w:noProof/>
                <w:sz w:val="20"/>
              </w:rPr>
              <w:t>and</w:t>
            </w:r>
            <w:r w:rsidRPr="00FF4E37">
              <w:rPr>
                <w:rFonts w:asciiTheme="minorHAnsi" w:hAnsiTheme="minorHAnsi" w:cs="Arial"/>
                <w:sz w:val="20"/>
              </w:rPr>
              <w:t xml:space="preserve"> Control I and Operations Management I at TUT.</w:t>
            </w:r>
            <w:r w:rsidRPr="00FF4E37">
              <w:rPr>
                <w:rFonts w:asciiTheme="minorHAnsi" w:hAnsiTheme="minorHAnsi" w:cs="Arial"/>
                <w:sz w:val="20"/>
                <w:lang w:val="en-ZA"/>
              </w:rPr>
              <w:t xml:space="preserve"> </w:t>
            </w:r>
            <w:r w:rsidRPr="00FF4E37">
              <w:rPr>
                <w:rFonts w:asciiTheme="minorHAnsi" w:hAnsiTheme="minorHAnsi" w:cs="Arial"/>
                <w:sz w:val="20"/>
              </w:rPr>
              <w:t xml:space="preserve">He is serving as a co-supervisor for M Tech Degree </w:t>
            </w:r>
            <w:r w:rsidRPr="00FF4E37">
              <w:rPr>
                <w:rFonts w:asciiTheme="minorHAnsi" w:hAnsiTheme="minorHAnsi" w:cs="Arial"/>
                <w:sz w:val="20"/>
                <w:lang w:val="en-US"/>
              </w:rPr>
              <w:t xml:space="preserve">student </w:t>
            </w:r>
            <w:r w:rsidRPr="00FF4E37">
              <w:rPr>
                <w:rFonts w:asciiTheme="minorHAnsi" w:hAnsiTheme="minorHAnsi" w:cs="Arial"/>
                <w:sz w:val="20"/>
              </w:rPr>
              <w:t xml:space="preserve">in Operations Management. He </w:t>
            </w:r>
            <w:r w:rsidRPr="00FF4E37">
              <w:rPr>
                <w:rFonts w:asciiTheme="minorHAnsi" w:hAnsiTheme="minorHAnsi" w:cs="Arial"/>
                <w:sz w:val="20"/>
                <w:lang w:val="en-US"/>
              </w:rPr>
              <w:t>was</w:t>
            </w:r>
            <w:r w:rsidRPr="00FF4E37">
              <w:rPr>
                <w:rFonts w:asciiTheme="minorHAnsi" w:hAnsiTheme="minorHAnsi" w:cs="Arial"/>
                <w:sz w:val="20"/>
              </w:rPr>
              <w:t xml:space="preserve"> a mentor lecturer to two</w:t>
            </w:r>
            <w:r w:rsidRPr="00FF4E37">
              <w:rPr>
                <w:rFonts w:asciiTheme="minorHAnsi" w:hAnsiTheme="minorHAnsi" w:cs="Arial"/>
                <w:sz w:val="20"/>
                <w:lang w:val="en-ZA"/>
              </w:rPr>
              <w:t xml:space="preserve"> </w:t>
            </w:r>
            <w:r w:rsidRPr="00FF4E37">
              <w:rPr>
                <w:rFonts w:asciiTheme="minorHAnsi" w:hAnsiTheme="minorHAnsi" w:cs="Arial"/>
                <w:sz w:val="20"/>
              </w:rPr>
              <w:t>part-time lecturers, lecturing at B Tech level. John has</w:t>
            </w:r>
            <w:r w:rsidRPr="00FF4E37">
              <w:rPr>
                <w:rFonts w:asciiTheme="minorHAnsi" w:hAnsiTheme="minorHAnsi" w:cs="Arial"/>
                <w:sz w:val="20"/>
                <w:lang w:val="en-ZA"/>
              </w:rPr>
              <w:t xml:space="preserve"> </w:t>
            </w:r>
            <w:r w:rsidRPr="00FF4E37">
              <w:rPr>
                <w:rFonts w:asciiTheme="minorHAnsi" w:hAnsiTheme="minorHAnsi" w:cs="Arial"/>
                <w:sz w:val="20"/>
              </w:rPr>
              <w:t>presented a paper in the Proceedings</w:t>
            </w:r>
            <w:r w:rsidRPr="00FF4E37">
              <w:rPr>
                <w:rFonts w:asciiTheme="minorHAnsi" w:hAnsiTheme="minorHAnsi" w:cstheme="minorBidi"/>
                <w:sz w:val="20"/>
              </w:rPr>
              <w:t xml:space="preserve"> of the 2015 International Conference on Industrial Engineering and Operations Management Dubai, UAE, March 3 – 5, 2015. In October 2016 he presented another paper in local conference in South Africa at (SAIIE27) South African Institute of Industrial Engineering Conference. </w:t>
            </w:r>
            <w:r w:rsidRPr="00FF4E37">
              <w:rPr>
                <w:rFonts w:asciiTheme="minorHAnsi" w:hAnsiTheme="minorHAnsi" w:cs="Arial"/>
                <w:sz w:val="20"/>
              </w:rPr>
              <w:t xml:space="preserve">He accepted an invitation to serve as deputy chairperson whose responsibility included doing quality audits for National Diploma in </w:t>
            </w:r>
            <w:r w:rsidRPr="00FF4E37">
              <w:rPr>
                <w:rFonts w:asciiTheme="minorHAnsi" w:hAnsiTheme="minorHAnsi" w:cs="Arial"/>
                <w:sz w:val="20"/>
                <w:lang w:val="en-ZA"/>
              </w:rPr>
              <w:t xml:space="preserve">Operations </w:t>
            </w:r>
            <w:r w:rsidRPr="00FF4E37">
              <w:rPr>
                <w:rFonts w:asciiTheme="minorHAnsi" w:hAnsiTheme="minorHAnsi" w:cs="Arial"/>
                <w:sz w:val="20"/>
              </w:rPr>
              <w:lastRenderedPageBreak/>
              <w:t xml:space="preserve">Management </w:t>
            </w:r>
            <w:r w:rsidRPr="00FF4E37">
              <w:rPr>
                <w:rFonts w:asciiTheme="minorHAnsi" w:hAnsiTheme="minorHAnsi" w:cs="Arial"/>
                <w:sz w:val="20"/>
                <w:lang w:val="en-ZA"/>
              </w:rPr>
              <w:t xml:space="preserve">and Management </w:t>
            </w:r>
            <w:r w:rsidRPr="00FF4E37">
              <w:rPr>
                <w:rFonts w:asciiTheme="minorHAnsi" w:hAnsiTheme="minorHAnsi" w:cs="Arial"/>
                <w:sz w:val="20"/>
              </w:rPr>
              <w:t>Services at University of Johannesburg</w:t>
            </w:r>
            <w:r w:rsidRPr="00FF4E37">
              <w:rPr>
                <w:rFonts w:asciiTheme="minorHAnsi" w:hAnsiTheme="minorHAnsi" w:cs="Arial"/>
                <w:sz w:val="20"/>
                <w:lang w:val="en-ZA"/>
              </w:rPr>
              <w:t>.</w:t>
            </w:r>
            <w:r w:rsidRPr="00FF4E37">
              <w:rPr>
                <w:rFonts w:asciiTheme="minorHAnsi" w:hAnsiTheme="minorHAnsi" w:cs="Arial"/>
                <w:sz w:val="20"/>
              </w:rPr>
              <w:t xml:space="preserve">  </w:t>
            </w:r>
            <w:r w:rsidRPr="00FF4E37">
              <w:rPr>
                <w:rFonts w:asciiTheme="minorHAnsi" w:hAnsiTheme="minorHAnsi" w:cs="Arial"/>
                <w:sz w:val="20"/>
                <w:lang w:val="en-US"/>
              </w:rPr>
              <w:t>He</w:t>
            </w:r>
            <w:r w:rsidRPr="00FF4E37">
              <w:rPr>
                <w:rFonts w:asciiTheme="minorHAnsi" w:hAnsiTheme="minorHAnsi" w:cs="Arial"/>
                <w:sz w:val="20"/>
              </w:rPr>
              <w:t xml:space="preserve"> has </w:t>
            </w:r>
            <w:r w:rsidRPr="00FF4E37">
              <w:rPr>
                <w:rFonts w:asciiTheme="minorHAnsi" w:hAnsiTheme="minorHAnsi" w:cs="Arial"/>
                <w:sz w:val="20"/>
                <w:lang w:val="en-US"/>
              </w:rPr>
              <w:t xml:space="preserve">successfully facilitated fire evacuation drill in 2013 and 2014 respectively, in the Faculty of Management Sciences at </w:t>
            </w:r>
            <w:r w:rsidRPr="00FF4E37">
              <w:rPr>
                <w:rFonts w:asciiTheme="minorHAnsi" w:hAnsiTheme="minorHAnsi" w:cs="Arial"/>
                <w:sz w:val="20"/>
              </w:rPr>
              <w:t>TUT</w:t>
            </w:r>
            <w:r w:rsidRPr="00FF4E37">
              <w:rPr>
                <w:rFonts w:asciiTheme="minorHAnsi" w:hAnsiTheme="minorHAnsi" w:cs="Arial"/>
                <w:sz w:val="20"/>
                <w:lang w:val="en-US"/>
              </w:rPr>
              <w:t>.</w:t>
            </w:r>
            <w:r>
              <w:rPr>
                <w:rFonts w:asciiTheme="minorHAnsi" w:hAnsiTheme="minorHAnsi" w:cs="Arial"/>
                <w:sz w:val="20"/>
                <w:lang w:val="en-US"/>
              </w:rPr>
              <w:t xml:space="preserve"> H</w:t>
            </w:r>
            <w:proofErr w:type="spellStart"/>
            <w:r w:rsidRPr="00FF4E37">
              <w:rPr>
                <w:rFonts w:asciiTheme="minorHAnsi" w:hAnsiTheme="minorHAnsi" w:cs="Arial"/>
                <w:sz w:val="20"/>
              </w:rPr>
              <w:t>e</w:t>
            </w:r>
            <w:proofErr w:type="spellEnd"/>
            <w:r w:rsidRPr="00FF4E37">
              <w:rPr>
                <w:rFonts w:asciiTheme="minorHAnsi" w:hAnsiTheme="minorHAnsi" w:cs="Arial"/>
                <w:sz w:val="20"/>
              </w:rPr>
              <w:t xml:space="preserve"> was voted the best Lecturer in the Department of Operations Management at TUT. </w:t>
            </w:r>
            <w:r w:rsidRPr="00FF4E37">
              <w:rPr>
                <w:rFonts w:asciiTheme="minorHAnsi" w:hAnsiTheme="minorHAnsi" w:cs="Arial"/>
                <w:sz w:val="20"/>
                <w:lang w:val="en-US"/>
              </w:rPr>
              <w:t xml:space="preserve">He serves as (SGB) School Governing Body as a chairperson at Norkem Primary School. He is a Secretary of the Board of </w:t>
            </w:r>
            <w:proofErr w:type="spellStart"/>
            <w:r w:rsidRPr="00FF4E37">
              <w:rPr>
                <w:rFonts w:asciiTheme="minorHAnsi" w:hAnsiTheme="minorHAnsi" w:cs="Arial"/>
                <w:sz w:val="20"/>
                <w:lang w:val="en-US"/>
              </w:rPr>
              <w:t>Ikhaya</w:t>
            </w:r>
            <w:proofErr w:type="spellEnd"/>
            <w:r w:rsidRPr="00FF4E37">
              <w:rPr>
                <w:rFonts w:asciiTheme="minorHAnsi" w:hAnsiTheme="minorHAnsi" w:cs="Arial"/>
                <w:sz w:val="20"/>
                <w:lang w:val="en-US"/>
              </w:rPr>
              <w:t xml:space="preserve"> </w:t>
            </w:r>
            <w:proofErr w:type="spellStart"/>
            <w:r w:rsidRPr="00FF4E37">
              <w:rPr>
                <w:rFonts w:asciiTheme="minorHAnsi" w:hAnsiTheme="minorHAnsi" w:cs="Arial"/>
                <w:sz w:val="20"/>
                <w:lang w:val="en-US"/>
              </w:rPr>
              <w:t>Lothando</w:t>
            </w:r>
            <w:proofErr w:type="spellEnd"/>
            <w:r w:rsidRPr="00FF4E37">
              <w:rPr>
                <w:rFonts w:asciiTheme="minorHAnsi" w:hAnsiTheme="minorHAnsi" w:cs="Arial"/>
                <w:sz w:val="20"/>
                <w:lang w:val="en-US"/>
              </w:rPr>
              <w:t xml:space="preserve"> in Tembisa Gauteng, South Africa. He is currently working for University of South Africa (UNISA), where he is involved in Open Distance Learning. He is l</w:t>
            </w:r>
            <w:r>
              <w:rPr>
                <w:rFonts w:asciiTheme="minorHAnsi" w:hAnsiTheme="minorHAnsi" w:cs="Arial"/>
                <w:sz w:val="20"/>
                <w:lang w:val="en-US"/>
              </w:rPr>
              <w:t>ecturing Safety Principles and P</w:t>
            </w:r>
            <w:r w:rsidRPr="00FF4E37">
              <w:rPr>
                <w:rFonts w:asciiTheme="minorHAnsi" w:hAnsiTheme="minorHAnsi" w:cs="Arial"/>
                <w:sz w:val="20"/>
                <w:lang w:val="en-US"/>
              </w:rPr>
              <w:t>ractice I and organizational effectiveness III.</w:t>
            </w:r>
          </w:p>
          <w:p w14:paraId="2A32FD4E" w14:textId="72536F5B" w:rsidR="00835D5F" w:rsidRPr="00AF3D58" w:rsidRDefault="00835D5F" w:rsidP="00835D5F">
            <w:pPr>
              <w:spacing w:after="0" w:line="240" w:lineRule="auto"/>
              <w:jc w:val="both"/>
              <w:rPr>
                <w:bCs/>
                <w:sz w:val="20"/>
                <w:szCs w:val="20"/>
              </w:rPr>
            </w:pPr>
          </w:p>
        </w:tc>
        <w:tc>
          <w:tcPr>
            <w:tcW w:w="1242" w:type="dxa"/>
            <w:gridSpan w:val="2"/>
            <w:shd w:val="clear" w:color="auto" w:fill="auto"/>
          </w:tcPr>
          <w:p w14:paraId="1C29B220" w14:textId="77777777" w:rsidR="00835D5F" w:rsidRPr="00AF3D58" w:rsidRDefault="00835D5F" w:rsidP="00835D5F">
            <w:pPr>
              <w:spacing w:after="0" w:line="240" w:lineRule="auto"/>
              <w:rPr>
                <w:sz w:val="20"/>
                <w:szCs w:val="20"/>
              </w:rPr>
            </w:pPr>
          </w:p>
        </w:tc>
      </w:tr>
      <w:tr w:rsidR="00165D01" w:rsidRPr="00AF3D58" w14:paraId="7936D823" w14:textId="77777777" w:rsidTr="00165D01">
        <w:trPr>
          <w:trHeight w:val="276"/>
        </w:trPr>
        <w:tc>
          <w:tcPr>
            <w:tcW w:w="2518" w:type="dxa"/>
            <w:shd w:val="clear" w:color="auto" w:fill="auto"/>
          </w:tcPr>
          <w:p w14:paraId="6D3B9DD4" w14:textId="77777777" w:rsidR="00165D01" w:rsidRDefault="00165D01" w:rsidP="00165D01">
            <w:pPr>
              <w:spacing w:after="0" w:line="240" w:lineRule="auto"/>
              <w:rPr>
                <w:b/>
                <w:bCs/>
                <w:sz w:val="20"/>
                <w:szCs w:val="20"/>
              </w:rPr>
            </w:pPr>
            <w:r>
              <w:rPr>
                <w:b/>
                <w:bCs/>
                <w:sz w:val="20"/>
                <w:szCs w:val="20"/>
              </w:rPr>
              <w:t>Mr Preshodan Naidoo</w:t>
            </w:r>
          </w:p>
          <w:p w14:paraId="2322B57E" w14:textId="77777777" w:rsidR="00165D01" w:rsidRDefault="00165D01" w:rsidP="00165D01">
            <w:pPr>
              <w:spacing w:after="0" w:line="240" w:lineRule="auto"/>
              <w:rPr>
                <w:sz w:val="20"/>
                <w:szCs w:val="20"/>
              </w:rPr>
            </w:pPr>
            <w:r>
              <w:rPr>
                <w:sz w:val="20"/>
                <w:szCs w:val="20"/>
              </w:rPr>
              <w:t>Office: 012 429 2149</w:t>
            </w:r>
          </w:p>
          <w:p w14:paraId="059976C6" w14:textId="77777777" w:rsidR="00165D01" w:rsidRDefault="00165D01" w:rsidP="00165D01">
            <w:pPr>
              <w:spacing w:after="0" w:line="240" w:lineRule="auto"/>
              <w:rPr>
                <w:sz w:val="20"/>
                <w:szCs w:val="20"/>
              </w:rPr>
            </w:pPr>
            <w:r>
              <w:rPr>
                <w:sz w:val="20"/>
                <w:szCs w:val="20"/>
              </w:rPr>
              <w:t>Email: naidoop@unisa.ac.za</w:t>
            </w:r>
          </w:p>
          <w:p w14:paraId="5FA32585" w14:textId="6B6E2ECB" w:rsidR="00165D01" w:rsidRPr="00AF3D58" w:rsidRDefault="00165D01" w:rsidP="00165D01">
            <w:pPr>
              <w:spacing w:after="0" w:line="240" w:lineRule="auto"/>
              <w:rPr>
                <w:b/>
                <w:bCs/>
                <w:sz w:val="20"/>
                <w:szCs w:val="20"/>
              </w:rPr>
            </w:pPr>
            <w:r>
              <w:rPr>
                <w:sz w:val="20"/>
                <w:szCs w:val="20"/>
              </w:rPr>
              <w:t xml:space="preserve">ORCID : </w:t>
            </w:r>
            <w:hyperlink r:id="rId10" w:history="1">
              <w:r>
                <w:rPr>
                  <w:rStyle w:val="Hyperlink"/>
                  <w:rFonts w:ascii="Helvetica" w:hAnsi="Helvetica" w:cs="Helvetica"/>
                  <w:sz w:val="18"/>
                  <w:szCs w:val="18"/>
                  <w:lang w:val="en"/>
                </w:rPr>
                <w:t>https://orcid.org/0000-0002-6605-7929</w:t>
              </w:r>
            </w:hyperlink>
          </w:p>
        </w:tc>
        <w:tc>
          <w:tcPr>
            <w:tcW w:w="5557" w:type="dxa"/>
            <w:gridSpan w:val="3"/>
            <w:shd w:val="clear" w:color="auto" w:fill="auto"/>
          </w:tcPr>
          <w:p w14:paraId="2F652249" w14:textId="77777777" w:rsidR="00165D01" w:rsidRPr="00AF3D58" w:rsidRDefault="00165D01" w:rsidP="00165D01">
            <w:pPr>
              <w:spacing w:after="0" w:line="240" w:lineRule="auto"/>
              <w:jc w:val="both"/>
              <w:rPr>
                <w:color w:val="1E2921"/>
                <w:sz w:val="20"/>
                <w:szCs w:val="20"/>
              </w:rPr>
            </w:pPr>
            <w:r>
              <w:rPr>
                <w:bCs/>
                <w:sz w:val="20"/>
                <w:szCs w:val="20"/>
              </w:rPr>
              <w:t xml:space="preserve">Preshodan Naidoo lectures in Safety and Operations Management. His field of expertise at the University of Johannesburg included management services, mathematics and statistics, quantitative techniques. His corporate experience includes working in the electrical, steel and food manufacturing industries. He successfully completed a MBL degree with the Unisa Graduate School of Business Leadership. He is a PhD candidate in the Department of Operations Management focusing on Safety and Wellbeing. </w:t>
            </w:r>
          </w:p>
        </w:tc>
        <w:tc>
          <w:tcPr>
            <w:tcW w:w="1213" w:type="dxa"/>
            <w:shd w:val="clear" w:color="auto" w:fill="auto"/>
          </w:tcPr>
          <w:p w14:paraId="10E340BA" w14:textId="554ABDED" w:rsidR="00165D01" w:rsidRPr="00AF3D58" w:rsidRDefault="00165D01" w:rsidP="00165D01">
            <w:pPr>
              <w:spacing w:after="0" w:line="240" w:lineRule="auto"/>
              <w:jc w:val="both"/>
              <w:rPr>
                <w:color w:val="1E2921"/>
                <w:sz w:val="20"/>
                <w:szCs w:val="20"/>
              </w:rPr>
            </w:pPr>
          </w:p>
        </w:tc>
      </w:tr>
      <w:tr w:rsidR="00835D5F" w:rsidRPr="00AF3D58" w14:paraId="2E58AF9A" w14:textId="77777777" w:rsidTr="00DF00D9">
        <w:trPr>
          <w:trHeight w:val="276"/>
        </w:trPr>
        <w:tc>
          <w:tcPr>
            <w:tcW w:w="2518" w:type="dxa"/>
            <w:shd w:val="clear" w:color="auto" w:fill="auto"/>
          </w:tcPr>
          <w:p w14:paraId="3CE28251" w14:textId="77777777" w:rsidR="00835D5F" w:rsidRPr="00AF3D58" w:rsidRDefault="00835D5F" w:rsidP="00835D5F">
            <w:pPr>
              <w:spacing w:after="0" w:line="240" w:lineRule="auto"/>
              <w:rPr>
                <w:b/>
                <w:bCs/>
                <w:sz w:val="20"/>
                <w:szCs w:val="20"/>
              </w:rPr>
            </w:pPr>
            <w:r w:rsidRPr="00AF3D58">
              <w:rPr>
                <w:b/>
                <w:bCs/>
                <w:sz w:val="20"/>
                <w:szCs w:val="20"/>
              </w:rPr>
              <w:t>Model of supervision</w:t>
            </w:r>
          </w:p>
        </w:tc>
        <w:tc>
          <w:tcPr>
            <w:tcW w:w="6770" w:type="dxa"/>
            <w:gridSpan w:val="4"/>
            <w:shd w:val="clear" w:color="auto" w:fill="auto"/>
          </w:tcPr>
          <w:p w14:paraId="58AE35F4" w14:textId="77777777" w:rsidR="00835D5F" w:rsidRPr="00AF3D58" w:rsidRDefault="00835D5F" w:rsidP="00835D5F">
            <w:pPr>
              <w:spacing w:after="0" w:line="240" w:lineRule="auto"/>
              <w:jc w:val="both"/>
              <w:rPr>
                <w:color w:val="1E2921"/>
                <w:sz w:val="20"/>
                <w:szCs w:val="20"/>
              </w:rPr>
            </w:pPr>
            <w:r w:rsidRPr="00AF3D58">
              <w:rPr>
                <w:color w:val="1E2921"/>
                <w:sz w:val="20"/>
                <w:szCs w:val="20"/>
              </w:rPr>
              <w:t xml:space="preserve">Candidates will be allocated to a supervisor but will be required to work independently within the requirements of higher degree studies. </w:t>
            </w:r>
            <w:r w:rsidRPr="00AF3D58">
              <w:rPr>
                <w:sz w:val="20"/>
                <w:szCs w:val="20"/>
              </w:rPr>
              <w:t xml:space="preserve">Additionally, the candidate will have to present his/her work to a panel of academic at colloquia.  Additionally, the candidate should submit his/her work to be reviewed by a blind peer review process. </w:t>
            </w:r>
          </w:p>
        </w:tc>
      </w:tr>
      <w:tr w:rsidR="00835D5F" w:rsidRPr="00AF3D58" w14:paraId="53A6E827" w14:textId="77777777" w:rsidTr="00DF00D9">
        <w:trPr>
          <w:trHeight w:val="276"/>
        </w:trPr>
        <w:tc>
          <w:tcPr>
            <w:tcW w:w="2518" w:type="dxa"/>
            <w:shd w:val="clear" w:color="auto" w:fill="auto"/>
          </w:tcPr>
          <w:p w14:paraId="1B55783F" w14:textId="77777777" w:rsidR="00835D5F" w:rsidRPr="00AF3D58" w:rsidRDefault="00835D5F" w:rsidP="00835D5F">
            <w:pPr>
              <w:spacing w:after="0" w:line="240" w:lineRule="auto"/>
              <w:rPr>
                <w:b/>
                <w:bCs/>
                <w:sz w:val="20"/>
                <w:szCs w:val="20"/>
              </w:rPr>
            </w:pPr>
            <w:r w:rsidRPr="00AF3D58">
              <w:rPr>
                <w:b/>
                <w:bCs/>
                <w:sz w:val="20"/>
                <w:szCs w:val="20"/>
              </w:rPr>
              <w:t>Selection criteria: Master’s/Doctorate</w:t>
            </w:r>
          </w:p>
        </w:tc>
        <w:tc>
          <w:tcPr>
            <w:tcW w:w="6770" w:type="dxa"/>
            <w:gridSpan w:val="4"/>
            <w:shd w:val="clear" w:color="auto" w:fill="auto"/>
          </w:tcPr>
          <w:p w14:paraId="38F2BF6F" w14:textId="77777777" w:rsidR="00835D5F" w:rsidRPr="00AF3D58" w:rsidRDefault="00835D5F" w:rsidP="00835D5F">
            <w:pPr>
              <w:spacing w:after="0" w:line="240" w:lineRule="auto"/>
              <w:jc w:val="both"/>
              <w:rPr>
                <w:color w:val="1E2921"/>
                <w:sz w:val="20"/>
                <w:szCs w:val="20"/>
              </w:rPr>
            </w:pPr>
            <w:r w:rsidRPr="00AF3D58">
              <w:rPr>
                <w:color w:val="1E2921"/>
                <w:sz w:val="20"/>
                <w:szCs w:val="20"/>
              </w:rPr>
              <w:t xml:space="preserve">Refer to the qualification website for selection criteria. </w:t>
            </w:r>
          </w:p>
        </w:tc>
      </w:tr>
      <w:tr w:rsidR="00835D5F" w:rsidRPr="00AF3D58" w14:paraId="4A2BFFC1" w14:textId="77777777" w:rsidTr="00DF00D9">
        <w:trPr>
          <w:trHeight w:val="276"/>
        </w:trPr>
        <w:tc>
          <w:tcPr>
            <w:tcW w:w="2518" w:type="dxa"/>
            <w:shd w:val="clear" w:color="auto" w:fill="auto"/>
          </w:tcPr>
          <w:p w14:paraId="45251069" w14:textId="77777777" w:rsidR="00835D5F" w:rsidRPr="00AF3D58" w:rsidRDefault="00835D5F" w:rsidP="00835D5F">
            <w:pPr>
              <w:spacing w:after="0" w:line="240" w:lineRule="auto"/>
              <w:rPr>
                <w:b/>
                <w:bCs/>
                <w:sz w:val="20"/>
                <w:szCs w:val="20"/>
              </w:rPr>
            </w:pPr>
            <w:r w:rsidRPr="00AF3D58">
              <w:rPr>
                <w:b/>
                <w:bCs/>
                <w:sz w:val="20"/>
                <w:szCs w:val="20"/>
              </w:rPr>
              <w:t>Selection Procedure</w:t>
            </w:r>
          </w:p>
        </w:tc>
        <w:tc>
          <w:tcPr>
            <w:tcW w:w="6770" w:type="dxa"/>
            <w:gridSpan w:val="4"/>
            <w:shd w:val="clear" w:color="auto" w:fill="auto"/>
          </w:tcPr>
          <w:p w14:paraId="39F369BB" w14:textId="77777777" w:rsidR="00835D5F" w:rsidRPr="00AF3D58" w:rsidRDefault="00835D5F" w:rsidP="00835D5F">
            <w:pPr>
              <w:pStyle w:val="ListParagraph"/>
              <w:spacing w:after="0" w:line="240" w:lineRule="auto"/>
              <w:ind w:left="0"/>
              <w:jc w:val="both"/>
              <w:rPr>
                <w:color w:val="1E2921"/>
                <w:sz w:val="20"/>
                <w:szCs w:val="20"/>
              </w:rPr>
            </w:pPr>
            <w:r w:rsidRPr="00AF3D58">
              <w:rPr>
                <w:color w:val="1E2921"/>
                <w:sz w:val="20"/>
                <w:szCs w:val="20"/>
              </w:rPr>
              <w:t xml:space="preserve">Refer to the qualification website for selection procedure. </w:t>
            </w:r>
          </w:p>
        </w:tc>
      </w:tr>
      <w:tr w:rsidR="00835D5F" w:rsidRPr="00AF3D58" w14:paraId="323020D5" w14:textId="77777777" w:rsidTr="00DF00D9">
        <w:trPr>
          <w:trHeight w:val="276"/>
        </w:trPr>
        <w:tc>
          <w:tcPr>
            <w:tcW w:w="2518" w:type="dxa"/>
            <w:shd w:val="clear" w:color="auto" w:fill="auto"/>
          </w:tcPr>
          <w:p w14:paraId="14FF5A45" w14:textId="77777777" w:rsidR="00835D5F" w:rsidRPr="00AF3D58" w:rsidRDefault="00835D5F" w:rsidP="00835D5F">
            <w:pPr>
              <w:spacing w:after="0" w:line="240" w:lineRule="auto"/>
              <w:rPr>
                <w:b/>
                <w:bCs/>
                <w:sz w:val="20"/>
                <w:szCs w:val="20"/>
              </w:rPr>
            </w:pPr>
            <w:r w:rsidRPr="00AF3D58">
              <w:rPr>
                <w:b/>
                <w:bCs/>
                <w:sz w:val="20"/>
                <w:szCs w:val="20"/>
              </w:rPr>
              <w:t>Research scope</w:t>
            </w:r>
          </w:p>
        </w:tc>
        <w:tc>
          <w:tcPr>
            <w:tcW w:w="6770" w:type="dxa"/>
            <w:gridSpan w:val="4"/>
            <w:shd w:val="clear" w:color="auto" w:fill="auto"/>
          </w:tcPr>
          <w:p w14:paraId="2336C3AA" w14:textId="77777777" w:rsidR="00835D5F" w:rsidRDefault="00835D5F" w:rsidP="00835D5F">
            <w:pPr>
              <w:spacing w:after="0" w:line="240" w:lineRule="auto"/>
              <w:rPr>
                <w:sz w:val="20"/>
                <w:szCs w:val="20"/>
              </w:rPr>
            </w:pPr>
            <w:r w:rsidRPr="00AF3D58">
              <w:rPr>
                <w:sz w:val="20"/>
                <w:szCs w:val="20"/>
              </w:rPr>
              <w:t xml:space="preserve">Research in the field of </w:t>
            </w:r>
            <w:r>
              <w:rPr>
                <w:sz w:val="20"/>
                <w:szCs w:val="20"/>
              </w:rPr>
              <w:t>emergency and disaster management</w:t>
            </w:r>
            <w:r w:rsidRPr="00AF3D58">
              <w:rPr>
                <w:sz w:val="20"/>
                <w:szCs w:val="20"/>
              </w:rPr>
              <w:t xml:space="preserve"> will relate to:</w:t>
            </w:r>
          </w:p>
          <w:p w14:paraId="06FD05E3" w14:textId="77777777" w:rsidR="00835D5F" w:rsidRDefault="00835D5F" w:rsidP="00835D5F">
            <w:pPr>
              <w:pStyle w:val="ListParagraph"/>
              <w:numPr>
                <w:ilvl w:val="0"/>
                <w:numId w:val="36"/>
              </w:numPr>
              <w:spacing w:after="0" w:line="240" w:lineRule="auto"/>
              <w:rPr>
                <w:sz w:val="20"/>
                <w:szCs w:val="20"/>
              </w:rPr>
            </w:pPr>
            <w:r>
              <w:rPr>
                <w:sz w:val="20"/>
                <w:szCs w:val="20"/>
              </w:rPr>
              <w:t>e</w:t>
            </w:r>
            <w:r w:rsidRPr="00920FC4">
              <w:rPr>
                <w:sz w:val="20"/>
                <w:szCs w:val="20"/>
              </w:rPr>
              <w:t xml:space="preserve">mergency preparedness, </w:t>
            </w:r>
          </w:p>
          <w:p w14:paraId="33D780A0" w14:textId="77777777" w:rsidR="00835D5F" w:rsidRDefault="00835D5F" w:rsidP="00835D5F">
            <w:pPr>
              <w:pStyle w:val="ListParagraph"/>
              <w:numPr>
                <w:ilvl w:val="0"/>
                <w:numId w:val="36"/>
              </w:numPr>
              <w:spacing w:after="0" w:line="240" w:lineRule="auto"/>
              <w:rPr>
                <w:sz w:val="20"/>
                <w:szCs w:val="20"/>
              </w:rPr>
            </w:pPr>
            <w:r w:rsidRPr="00920FC4">
              <w:rPr>
                <w:sz w:val="20"/>
                <w:szCs w:val="20"/>
              </w:rPr>
              <w:t xml:space="preserve">explosives, </w:t>
            </w:r>
          </w:p>
          <w:p w14:paraId="6D6E4593" w14:textId="77777777" w:rsidR="00835D5F" w:rsidRDefault="00835D5F" w:rsidP="00835D5F">
            <w:pPr>
              <w:pStyle w:val="ListParagraph"/>
              <w:numPr>
                <w:ilvl w:val="0"/>
                <w:numId w:val="36"/>
              </w:numPr>
              <w:spacing w:after="0" w:line="240" w:lineRule="auto"/>
              <w:rPr>
                <w:sz w:val="20"/>
                <w:szCs w:val="20"/>
              </w:rPr>
            </w:pPr>
            <w:r w:rsidRPr="00920FC4">
              <w:rPr>
                <w:sz w:val="20"/>
                <w:szCs w:val="20"/>
              </w:rPr>
              <w:t xml:space="preserve">fire safety, </w:t>
            </w:r>
          </w:p>
          <w:p w14:paraId="3A70153C" w14:textId="77777777" w:rsidR="00835D5F" w:rsidRDefault="00835D5F" w:rsidP="00835D5F">
            <w:pPr>
              <w:pStyle w:val="ListParagraph"/>
              <w:numPr>
                <w:ilvl w:val="0"/>
                <w:numId w:val="36"/>
              </w:numPr>
              <w:spacing w:after="0" w:line="240" w:lineRule="auto"/>
              <w:rPr>
                <w:sz w:val="20"/>
                <w:szCs w:val="20"/>
              </w:rPr>
            </w:pPr>
            <w:r w:rsidRPr="00920FC4">
              <w:rPr>
                <w:sz w:val="20"/>
                <w:szCs w:val="20"/>
              </w:rPr>
              <w:t xml:space="preserve">natural disasters, </w:t>
            </w:r>
          </w:p>
          <w:p w14:paraId="78EB69F2" w14:textId="77777777" w:rsidR="00835D5F" w:rsidRDefault="00835D5F" w:rsidP="00835D5F">
            <w:pPr>
              <w:pStyle w:val="ListParagraph"/>
              <w:numPr>
                <w:ilvl w:val="0"/>
                <w:numId w:val="36"/>
              </w:numPr>
              <w:spacing w:after="0" w:line="240" w:lineRule="auto"/>
              <w:rPr>
                <w:sz w:val="20"/>
                <w:szCs w:val="20"/>
              </w:rPr>
            </w:pPr>
            <w:r w:rsidRPr="00920FC4">
              <w:rPr>
                <w:sz w:val="20"/>
                <w:szCs w:val="20"/>
              </w:rPr>
              <w:t>man-made disasters</w:t>
            </w:r>
            <w:r>
              <w:rPr>
                <w:sz w:val="20"/>
                <w:szCs w:val="20"/>
              </w:rPr>
              <w:t>,</w:t>
            </w:r>
            <w:r w:rsidRPr="00920FC4">
              <w:rPr>
                <w:sz w:val="20"/>
                <w:szCs w:val="20"/>
              </w:rPr>
              <w:t xml:space="preserve"> and </w:t>
            </w:r>
          </w:p>
          <w:p w14:paraId="7A4C703B" w14:textId="77777777" w:rsidR="00835D5F" w:rsidRPr="00920FC4" w:rsidRDefault="00835D5F" w:rsidP="00835D5F">
            <w:pPr>
              <w:pStyle w:val="ListParagraph"/>
              <w:numPr>
                <w:ilvl w:val="0"/>
                <w:numId w:val="36"/>
              </w:numPr>
              <w:spacing w:after="0" w:line="240" w:lineRule="auto"/>
              <w:rPr>
                <w:sz w:val="20"/>
                <w:szCs w:val="20"/>
              </w:rPr>
            </w:pPr>
            <w:r w:rsidRPr="00920FC4">
              <w:rPr>
                <w:sz w:val="20"/>
                <w:szCs w:val="20"/>
              </w:rPr>
              <w:t>terrorism awareness.</w:t>
            </w:r>
          </w:p>
          <w:p w14:paraId="617A896F" w14:textId="77777777" w:rsidR="00835D5F" w:rsidRPr="00AF3D58" w:rsidRDefault="00835D5F" w:rsidP="00835D5F">
            <w:pPr>
              <w:spacing w:after="0" w:line="240" w:lineRule="auto"/>
              <w:rPr>
                <w:sz w:val="20"/>
                <w:szCs w:val="20"/>
              </w:rPr>
            </w:pPr>
          </w:p>
          <w:p w14:paraId="34F746DC" w14:textId="77777777" w:rsidR="00835D5F" w:rsidRPr="00AF3D58" w:rsidRDefault="00835D5F" w:rsidP="00835D5F">
            <w:pPr>
              <w:spacing w:after="0" w:line="240" w:lineRule="auto"/>
              <w:rPr>
                <w:sz w:val="20"/>
                <w:szCs w:val="20"/>
              </w:rPr>
            </w:pPr>
            <w:r w:rsidRPr="00AF3D58">
              <w:rPr>
                <w:sz w:val="20"/>
                <w:szCs w:val="20"/>
              </w:rPr>
              <w:t>The context of research in terms of these research focus areas will include individuals, teams, organizations, institutions, various collectives such as industries and countries, processes, safety interventions, safety concepts, safety theories, safety models, scientific methods and techniques, bodies of scientific safety knowledge and literature, and safety data or statistics.</w:t>
            </w:r>
          </w:p>
          <w:p w14:paraId="0D66301B" w14:textId="77777777" w:rsidR="00835D5F" w:rsidRPr="00AF3D58" w:rsidRDefault="00835D5F" w:rsidP="00835D5F">
            <w:pPr>
              <w:spacing w:after="0" w:line="240" w:lineRule="auto"/>
              <w:rPr>
                <w:sz w:val="20"/>
                <w:szCs w:val="20"/>
              </w:rPr>
            </w:pPr>
          </w:p>
          <w:p w14:paraId="2450288B" w14:textId="77777777" w:rsidR="00835D5F" w:rsidRPr="00AF3D58" w:rsidRDefault="00835D5F" w:rsidP="00835D5F">
            <w:pPr>
              <w:rPr>
                <w:sz w:val="20"/>
                <w:szCs w:val="20"/>
              </w:rPr>
            </w:pPr>
          </w:p>
        </w:tc>
      </w:tr>
      <w:tr w:rsidR="00835D5F" w:rsidRPr="00AF3D58" w14:paraId="3C453E3E" w14:textId="77777777" w:rsidTr="00DF00D9">
        <w:trPr>
          <w:trHeight w:val="276"/>
        </w:trPr>
        <w:tc>
          <w:tcPr>
            <w:tcW w:w="2518" w:type="dxa"/>
            <w:shd w:val="clear" w:color="auto" w:fill="auto"/>
          </w:tcPr>
          <w:p w14:paraId="7B685807" w14:textId="77777777" w:rsidR="00835D5F" w:rsidRPr="00AF3D58" w:rsidRDefault="00835D5F" w:rsidP="00835D5F">
            <w:pPr>
              <w:spacing w:after="0" w:line="240" w:lineRule="auto"/>
              <w:rPr>
                <w:b/>
                <w:bCs/>
                <w:sz w:val="20"/>
                <w:szCs w:val="20"/>
              </w:rPr>
            </w:pPr>
            <w:r w:rsidRPr="00AF3D58">
              <w:rPr>
                <w:b/>
                <w:bCs/>
                <w:sz w:val="20"/>
                <w:szCs w:val="20"/>
              </w:rPr>
              <w:t xml:space="preserve">Reading: </w:t>
            </w:r>
          </w:p>
          <w:p w14:paraId="6D05FDC6" w14:textId="77777777" w:rsidR="00835D5F" w:rsidRPr="00AF3D58" w:rsidRDefault="00835D5F" w:rsidP="00835D5F">
            <w:pPr>
              <w:spacing w:after="0" w:line="240" w:lineRule="auto"/>
              <w:rPr>
                <w:b/>
                <w:bCs/>
                <w:sz w:val="20"/>
                <w:szCs w:val="20"/>
              </w:rPr>
            </w:pPr>
            <w:r w:rsidRPr="00AF3D58">
              <w:rPr>
                <w:b/>
                <w:bCs/>
                <w:sz w:val="20"/>
                <w:szCs w:val="20"/>
              </w:rPr>
              <w:t>Subject Field</w:t>
            </w:r>
          </w:p>
          <w:p w14:paraId="19E5913D" w14:textId="77777777" w:rsidR="00835D5F" w:rsidRPr="00AF3D58" w:rsidRDefault="00835D5F" w:rsidP="00835D5F">
            <w:pPr>
              <w:spacing w:after="0" w:line="240" w:lineRule="auto"/>
              <w:rPr>
                <w:sz w:val="20"/>
                <w:szCs w:val="20"/>
              </w:rPr>
            </w:pPr>
          </w:p>
        </w:tc>
        <w:tc>
          <w:tcPr>
            <w:tcW w:w="6770" w:type="dxa"/>
            <w:gridSpan w:val="4"/>
            <w:shd w:val="clear" w:color="auto" w:fill="auto"/>
          </w:tcPr>
          <w:p w14:paraId="170191D3" w14:textId="77777777" w:rsidR="00835D5F" w:rsidRPr="00AF3D58" w:rsidRDefault="00835D5F" w:rsidP="00835D5F">
            <w:pPr>
              <w:spacing w:after="0" w:line="240" w:lineRule="auto"/>
              <w:jc w:val="both"/>
              <w:rPr>
                <w:b/>
                <w:bCs/>
                <w:sz w:val="20"/>
                <w:szCs w:val="20"/>
              </w:rPr>
            </w:pPr>
            <w:r w:rsidRPr="00AF3D58">
              <w:rPr>
                <w:b/>
                <w:bCs/>
                <w:sz w:val="20"/>
                <w:szCs w:val="20"/>
              </w:rPr>
              <w:t xml:space="preserve">This is a selection of articles and/or recent books in this research focus area. </w:t>
            </w:r>
            <w:r w:rsidRPr="00AF3D58">
              <w:rPr>
                <w:b/>
                <w:bCs/>
                <w:sz w:val="20"/>
                <w:szCs w:val="20"/>
                <w:cs/>
              </w:rPr>
              <w:t>‎</w:t>
            </w:r>
            <w:r w:rsidRPr="00AF3D58">
              <w:rPr>
                <w:b/>
                <w:bCs/>
                <w:sz w:val="20"/>
                <w:szCs w:val="20"/>
              </w:rPr>
              <w:t>Further reading over and above these is essential:</w:t>
            </w:r>
          </w:p>
          <w:p w14:paraId="32441C20" w14:textId="77777777" w:rsidR="00835D5F" w:rsidRPr="00AF3D58" w:rsidRDefault="00835D5F" w:rsidP="00835D5F">
            <w:pPr>
              <w:pStyle w:val="ListParagraph"/>
              <w:numPr>
                <w:ilvl w:val="0"/>
                <w:numId w:val="25"/>
              </w:numPr>
              <w:spacing w:after="0" w:line="240" w:lineRule="auto"/>
              <w:jc w:val="both"/>
              <w:rPr>
                <w:sz w:val="20"/>
                <w:szCs w:val="20"/>
              </w:rPr>
            </w:pPr>
            <w:r w:rsidRPr="00AF3D58">
              <w:rPr>
                <w:sz w:val="20"/>
                <w:szCs w:val="20"/>
              </w:rPr>
              <w:t xml:space="preserve">Reese, C.D., 2015. </w:t>
            </w:r>
            <w:r w:rsidRPr="00AF3D58">
              <w:rPr>
                <w:i/>
                <w:sz w:val="20"/>
                <w:szCs w:val="20"/>
              </w:rPr>
              <w:t>Occupational health and safety management: a practical approach</w:t>
            </w:r>
            <w:r w:rsidRPr="00AF3D58">
              <w:rPr>
                <w:sz w:val="20"/>
                <w:szCs w:val="20"/>
              </w:rPr>
              <w:t>. CRC press.</w:t>
            </w:r>
          </w:p>
          <w:p w14:paraId="79F7D49C" w14:textId="77777777" w:rsidR="00835D5F" w:rsidRPr="00AF3D58" w:rsidRDefault="00835D5F" w:rsidP="00835D5F">
            <w:pPr>
              <w:pStyle w:val="ListParagraph"/>
              <w:numPr>
                <w:ilvl w:val="0"/>
                <w:numId w:val="25"/>
              </w:numPr>
              <w:spacing w:after="0" w:line="240" w:lineRule="auto"/>
              <w:jc w:val="both"/>
              <w:rPr>
                <w:sz w:val="20"/>
                <w:szCs w:val="20"/>
              </w:rPr>
            </w:pPr>
            <w:r w:rsidRPr="00AF3D58">
              <w:rPr>
                <w:sz w:val="20"/>
                <w:szCs w:val="20"/>
              </w:rPr>
              <w:t>Glendon, A.I., Clarke, S. and McKenna, E., 2016.</w:t>
            </w:r>
            <w:r w:rsidRPr="00AF3D58">
              <w:rPr>
                <w:i/>
                <w:sz w:val="20"/>
                <w:szCs w:val="20"/>
              </w:rPr>
              <w:t xml:space="preserve"> Human safety and risk management</w:t>
            </w:r>
            <w:r w:rsidRPr="00AF3D58">
              <w:rPr>
                <w:sz w:val="20"/>
                <w:szCs w:val="20"/>
              </w:rPr>
              <w:t xml:space="preserve">. </w:t>
            </w:r>
            <w:proofErr w:type="spellStart"/>
            <w:r w:rsidRPr="00AF3D58">
              <w:rPr>
                <w:sz w:val="20"/>
                <w:szCs w:val="20"/>
              </w:rPr>
              <w:t>Crc</w:t>
            </w:r>
            <w:proofErr w:type="spellEnd"/>
            <w:r w:rsidRPr="00AF3D58">
              <w:rPr>
                <w:sz w:val="20"/>
                <w:szCs w:val="20"/>
              </w:rPr>
              <w:t xml:space="preserve"> Press.</w:t>
            </w:r>
          </w:p>
          <w:p w14:paraId="33A44E79" w14:textId="77777777" w:rsidR="00835D5F" w:rsidRPr="00AF3D58" w:rsidRDefault="00835D5F" w:rsidP="00835D5F">
            <w:pPr>
              <w:pStyle w:val="ListParagraph"/>
              <w:numPr>
                <w:ilvl w:val="0"/>
                <w:numId w:val="25"/>
              </w:numPr>
              <w:spacing w:after="0" w:line="240" w:lineRule="auto"/>
              <w:jc w:val="both"/>
              <w:rPr>
                <w:sz w:val="20"/>
                <w:szCs w:val="20"/>
              </w:rPr>
            </w:pPr>
            <w:r w:rsidRPr="00AF3D58">
              <w:rPr>
                <w:sz w:val="20"/>
                <w:szCs w:val="20"/>
              </w:rPr>
              <w:t xml:space="preserve">Jeremy. </w:t>
            </w:r>
            <w:proofErr w:type="spellStart"/>
            <w:r w:rsidRPr="00AF3D58">
              <w:rPr>
                <w:sz w:val="20"/>
                <w:szCs w:val="20"/>
              </w:rPr>
              <w:t>Stranks</w:t>
            </w:r>
            <w:proofErr w:type="spellEnd"/>
            <w:r w:rsidRPr="00AF3D58">
              <w:rPr>
                <w:sz w:val="20"/>
                <w:szCs w:val="20"/>
              </w:rPr>
              <w:t xml:space="preserve">, 2016. </w:t>
            </w:r>
            <w:r w:rsidRPr="00AF3D58">
              <w:rPr>
                <w:i/>
                <w:sz w:val="20"/>
                <w:szCs w:val="20"/>
              </w:rPr>
              <w:t>Health and Safety At Work: Key Terms</w:t>
            </w:r>
            <w:r w:rsidRPr="00AF3D58">
              <w:rPr>
                <w:sz w:val="20"/>
                <w:szCs w:val="20"/>
              </w:rPr>
              <w:t>. Routledge.</w:t>
            </w:r>
          </w:p>
          <w:p w14:paraId="41633DB7" w14:textId="77777777" w:rsidR="00835D5F" w:rsidRDefault="00835D5F" w:rsidP="00835D5F">
            <w:pPr>
              <w:pStyle w:val="ListParagraph"/>
              <w:numPr>
                <w:ilvl w:val="0"/>
                <w:numId w:val="25"/>
              </w:numPr>
              <w:spacing w:after="0" w:line="240" w:lineRule="auto"/>
              <w:jc w:val="both"/>
              <w:rPr>
                <w:sz w:val="20"/>
                <w:szCs w:val="20"/>
              </w:rPr>
            </w:pPr>
            <w:r w:rsidRPr="00AF3D58">
              <w:rPr>
                <w:sz w:val="20"/>
                <w:szCs w:val="20"/>
              </w:rPr>
              <w:t xml:space="preserve">Hollnagel, E., 2014. </w:t>
            </w:r>
            <w:r w:rsidRPr="00AF3D58">
              <w:rPr>
                <w:i/>
                <w:sz w:val="20"/>
                <w:szCs w:val="20"/>
              </w:rPr>
              <w:t>Safety-I and safety–II: the past and future of safety management</w:t>
            </w:r>
            <w:r w:rsidRPr="00AF3D58">
              <w:rPr>
                <w:sz w:val="20"/>
                <w:szCs w:val="20"/>
              </w:rPr>
              <w:t xml:space="preserve">. Ashgate Publishing, </w:t>
            </w:r>
            <w:proofErr w:type="gramStart"/>
            <w:r w:rsidRPr="00AF3D58">
              <w:rPr>
                <w:sz w:val="20"/>
                <w:szCs w:val="20"/>
              </w:rPr>
              <w:t>Ltd..</w:t>
            </w:r>
            <w:proofErr w:type="gramEnd"/>
          </w:p>
          <w:p w14:paraId="17437371" w14:textId="77777777" w:rsidR="00835D5F" w:rsidRPr="00AF3D58" w:rsidRDefault="00835D5F" w:rsidP="00835D5F">
            <w:pPr>
              <w:pStyle w:val="ListParagraph"/>
              <w:numPr>
                <w:ilvl w:val="0"/>
                <w:numId w:val="25"/>
              </w:numPr>
              <w:spacing w:after="0" w:line="240" w:lineRule="auto"/>
              <w:jc w:val="both"/>
              <w:rPr>
                <w:sz w:val="20"/>
                <w:szCs w:val="20"/>
              </w:rPr>
            </w:pPr>
            <w:r>
              <w:rPr>
                <w:sz w:val="20"/>
                <w:szCs w:val="20"/>
              </w:rPr>
              <w:t>Hodgetts, T.J.; Mahoney, P.F., Russel, and R. Castle, N. 2010. Disaster rules. Wiley: Blackwell. UK</w:t>
            </w:r>
          </w:p>
          <w:p w14:paraId="11B0875A" w14:textId="77777777" w:rsidR="00835D5F" w:rsidRPr="00AF3D58" w:rsidRDefault="00835D5F" w:rsidP="00835D5F">
            <w:pPr>
              <w:pStyle w:val="ListParagraph"/>
              <w:spacing w:after="0" w:line="240" w:lineRule="auto"/>
              <w:jc w:val="both"/>
              <w:rPr>
                <w:sz w:val="20"/>
                <w:szCs w:val="20"/>
              </w:rPr>
            </w:pPr>
          </w:p>
        </w:tc>
      </w:tr>
      <w:tr w:rsidR="00835D5F" w:rsidRPr="00AF3D58" w14:paraId="6D079832" w14:textId="77777777" w:rsidTr="00DF00D9">
        <w:trPr>
          <w:trHeight w:val="276"/>
        </w:trPr>
        <w:tc>
          <w:tcPr>
            <w:tcW w:w="2518" w:type="dxa"/>
            <w:shd w:val="clear" w:color="auto" w:fill="auto"/>
          </w:tcPr>
          <w:p w14:paraId="4771B35B" w14:textId="77777777" w:rsidR="00835D5F" w:rsidRPr="00AF3D58" w:rsidRDefault="00835D5F" w:rsidP="00835D5F">
            <w:pPr>
              <w:spacing w:after="0" w:line="240" w:lineRule="auto"/>
              <w:rPr>
                <w:b/>
                <w:bCs/>
                <w:sz w:val="20"/>
                <w:szCs w:val="20"/>
              </w:rPr>
            </w:pPr>
            <w:r w:rsidRPr="00AF3D58">
              <w:rPr>
                <w:b/>
                <w:bCs/>
                <w:sz w:val="20"/>
                <w:szCs w:val="20"/>
              </w:rPr>
              <w:lastRenderedPageBreak/>
              <w:t xml:space="preserve">Reading: </w:t>
            </w:r>
          </w:p>
          <w:p w14:paraId="6FFA73EF" w14:textId="77777777" w:rsidR="00835D5F" w:rsidRPr="00AF3D58" w:rsidRDefault="00835D5F" w:rsidP="00835D5F">
            <w:pPr>
              <w:spacing w:after="0" w:line="240" w:lineRule="auto"/>
              <w:rPr>
                <w:sz w:val="20"/>
                <w:szCs w:val="20"/>
              </w:rPr>
            </w:pPr>
            <w:r w:rsidRPr="00AF3D58">
              <w:rPr>
                <w:b/>
                <w:bCs/>
                <w:sz w:val="20"/>
                <w:szCs w:val="20"/>
              </w:rPr>
              <w:t>Research Methodology</w:t>
            </w:r>
          </w:p>
        </w:tc>
        <w:tc>
          <w:tcPr>
            <w:tcW w:w="6770" w:type="dxa"/>
            <w:gridSpan w:val="4"/>
            <w:shd w:val="clear" w:color="auto" w:fill="auto"/>
          </w:tcPr>
          <w:p w14:paraId="763E9BC5" w14:textId="77777777" w:rsidR="00835D5F" w:rsidRPr="00AF3D58" w:rsidRDefault="00835D5F" w:rsidP="00835D5F">
            <w:pPr>
              <w:autoSpaceDE w:val="0"/>
              <w:autoSpaceDN w:val="0"/>
              <w:spacing w:after="0" w:line="240" w:lineRule="auto"/>
              <w:rPr>
                <w:b/>
                <w:sz w:val="20"/>
                <w:szCs w:val="20"/>
              </w:rPr>
            </w:pPr>
            <w:r w:rsidRPr="00AF3D58">
              <w:rPr>
                <w:b/>
                <w:sz w:val="20"/>
                <w:szCs w:val="20"/>
              </w:rPr>
              <w:t>This is a selection books on methodology. Further reading over and above these is essential:</w:t>
            </w:r>
          </w:p>
          <w:p w14:paraId="5AEACFD2" w14:textId="77777777" w:rsidR="00835D5F" w:rsidRPr="00AF3D58" w:rsidRDefault="00835D5F" w:rsidP="00835D5F">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Creswell, J.W. and Creswell, J.D., 2017. </w:t>
            </w:r>
            <w:r w:rsidRPr="00AF3D58">
              <w:rPr>
                <w:i/>
                <w:sz w:val="20"/>
                <w:szCs w:val="20"/>
              </w:rPr>
              <w:t xml:space="preserve">Research design: Qualitative, quantitative, and mixed methods </w:t>
            </w:r>
            <w:proofErr w:type="gramStart"/>
            <w:r w:rsidRPr="00AF3D58">
              <w:rPr>
                <w:i/>
                <w:sz w:val="20"/>
                <w:szCs w:val="20"/>
              </w:rPr>
              <w:t>approaches</w:t>
            </w:r>
            <w:proofErr w:type="gramEnd"/>
            <w:r w:rsidRPr="00AF3D58">
              <w:rPr>
                <w:sz w:val="20"/>
                <w:szCs w:val="20"/>
              </w:rPr>
              <w:t>. Sage publications.</w:t>
            </w:r>
          </w:p>
          <w:p w14:paraId="7D33A3D8" w14:textId="77777777" w:rsidR="00835D5F" w:rsidRPr="00AF3D58" w:rsidRDefault="00835D5F" w:rsidP="00835D5F">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Bryman, A. and Bell, E., 2015. </w:t>
            </w:r>
            <w:r w:rsidRPr="00AF3D58">
              <w:rPr>
                <w:i/>
                <w:sz w:val="20"/>
                <w:szCs w:val="20"/>
              </w:rPr>
              <w:t>Business research methods</w:t>
            </w:r>
            <w:r w:rsidRPr="00AF3D58">
              <w:rPr>
                <w:sz w:val="20"/>
                <w:szCs w:val="20"/>
              </w:rPr>
              <w:t>. Oxford University Press, USA.</w:t>
            </w:r>
          </w:p>
          <w:p w14:paraId="41219FA3" w14:textId="77777777" w:rsidR="00835D5F" w:rsidRPr="00AF3D58" w:rsidRDefault="00835D5F" w:rsidP="00835D5F">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Brannen, J. ed., 2017. </w:t>
            </w:r>
            <w:r w:rsidRPr="00AF3D58">
              <w:rPr>
                <w:i/>
                <w:sz w:val="20"/>
                <w:szCs w:val="20"/>
              </w:rPr>
              <w:t>Mixing methods: Qualitative and quantitative research</w:t>
            </w:r>
            <w:r w:rsidRPr="00AF3D58">
              <w:rPr>
                <w:sz w:val="20"/>
                <w:szCs w:val="20"/>
              </w:rPr>
              <w:t>. Routledge.</w:t>
            </w:r>
          </w:p>
          <w:p w14:paraId="41F607F5" w14:textId="77777777" w:rsidR="00835D5F" w:rsidRPr="00AF3D58" w:rsidRDefault="00835D5F" w:rsidP="00835D5F">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Saunders, M., Lewis, P. &amp; Thornhill, A. 2016. </w:t>
            </w:r>
            <w:r w:rsidRPr="00AF3D58">
              <w:rPr>
                <w:i/>
                <w:sz w:val="20"/>
                <w:szCs w:val="20"/>
              </w:rPr>
              <w:t>Research methods for business students</w:t>
            </w:r>
            <w:r w:rsidRPr="00AF3D58">
              <w:rPr>
                <w:sz w:val="20"/>
                <w:szCs w:val="20"/>
              </w:rPr>
              <w:t>. Seventh edition. Boston, MA: Pearson Education.</w:t>
            </w:r>
          </w:p>
          <w:p w14:paraId="169C1062" w14:textId="77777777" w:rsidR="00835D5F" w:rsidRPr="00AF3D58" w:rsidRDefault="00835D5F" w:rsidP="00835D5F">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Taylor, S.J., Bogdan, R. and DeVault, M., 2015. </w:t>
            </w:r>
            <w:r w:rsidRPr="00AF3D58">
              <w:rPr>
                <w:i/>
                <w:sz w:val="20"/>
                <w:szCs w:val="20"/>
              </w:rPr>
              <w:t>Introduction to qualitative research methods: A guidebook and resource</w:t>
            </w:r>
            <w:r w:rsidRPr="00AF3D58">
              <w:rPr>
                <w:sz w:val="20"/>
                <w:szCs w:val="20"/>
              </w:rPr>
              <w:t>. John Wiley &amp; Sons.</w:t>
            </w:r>
          </w:p>
          <w:p w14:paraId="7C2D32ED" w14:textId="77777777" w:rsidR="00835D5F" w:rsidRPr="00AF3D58" w:rsidRDefault="00835D5F" w:rsidP="00835D5F">
            <w:pPr>
              <w:pStyle w:val="ListParagraph"/>
              <w:autoSpaceDE w:val="0"/>
              <w:autoSpaceDN w:val="0"/>
              <w:spacing w:after="0" w:line="240" w:lineRule="auto"/>
              <w:contextualSpacing w:val="0"/>
              <w:rPr>
                <w:sz w:val="20"/>
                <w:szCs w:val="20"/>
              </w:rPr>
            </w:pPr>
          </w:p>
        </w:tc>
      </w:tr>
      <w:tr w:rsidR="00835D5F" w:rsidRPr="00AF3D58" w14:paraId="2DC8D299" w14:textId="77777777" w:rsidTr="00DF00D9">
        <w:trPr>
          <w:trHeight w:val="276"/>
        </w:trPr>
        <w:tc>
          <w:tcPr>
            <w:tcW w:w="2518" w:type="dxa"/>
            <w:shd w:val="clear" w:color="auto" w:fill="auto"/>
          </w:tcPr>
          <w:p w14:paraId="576697CB" w14:textId="77777777" w:rsidR="00835D5F" w:rsidRPr="00AF3D58" w:rsidRDefault="00835D5F" w:rsidP="00835D5F">
            <w:pPr>
              <w:spacing w:after="0" w:line="240" w:lineRule="auto"/>
              <w:rPr>
                <w:b/>
                <w:bCs/>
                <w:sz w:val="20"/>
                <w:szCs w:val="20"/>
              </w:rPr>
            </w:pPr>
            <w:r w:rsidRPr="00AF3D58">
              <w:rPr>
                <w:b/>
                <w:bCs/>
                <w:sz w:val="20"/>
                <w:szCs w:val="20"/>
              </w:rPr>
              <w:t>Resources: Scholar community</w:t>
            </w:r>
          </w:p>
        </w:tc>
        <w:tc>
          <w:tcPr>
            <w:tcW w:w="6770" w:type="dxa"/>
            <w:gridSpan w:val="4"/>
            <w:shd w:val="clear" w:color="auto" w:fill="auto"/>
          </w:tcPr>
          <w:p w14:paraId="15DA3AAA" w14:textId="77777777" w:rsidR="00835D5F" w:rsidRPr="00AF3D58" w:rsidRDefault="00835D5F" w:rsidP="00835D5F">
            <w:pPr>
              <w:spacing w:after="0" w:line="240" w:lineRule="auto"/>
              <w:jc w:val="both"/>
              <w:rPr>
                <w:sz w:val="20"/>
                <w:szCs w:val="20"/>
              </w:rPr>
            </w:pPr>
            <w:r w:rsidRPr="00AF3D58">
              <w:rPr>
                <w:sz w:val="20"/>
                <w:szCs w:val="20"/>
              </w:rPr>
              <w:t xml:space="preserve">Scholarly reading will include peer reviewed and academic journal articles, applicable textbooks, as well as the latest legislative and regulatory requirements in the chosen field of study. It is also advised that students familiarise themselves with the resources provided by industry bodies, both national and international. </w:t>
            </w:r>
          </w:p>
          <w:p w14:paraId="70093F28" w14:textId="77777777" w:rsidR="00835D5F" w:rsidRPr="00AF3D58" w:rsidRDefault="00835D5F" w:rsidP="00835D5F">
            <w:pPr>
              <w:spacing w:after="0" w:line="240" w:lineRule="auto"/>
              <w:jc w:val="both"/>
              <w:rPr>
                <w:sz w:val="20"/>
                <w:szCs w:val="20"/>
              </w:rPr>
            </w:pPr>
          </w:p>
        </w:tc>
      </w:tr>
      <w:tr w:rsidR="00835D5F" w:rsidRPr="00AF3D58" w14:paraId="2AECE771" w14:textId="77777777" w:rsidTr="002F7E99">
        <w:trPr>
          <w:trHeight w:val="276"/>
        </w:trPr>
        <w:tc>
          <w:tcPr>
            <w:tcW w:w="9288" w:type="dxa"/>
            <w:gridSpan w:val="5"/>
            <w:shd w:val="clear" w:color="auto" w:fill="D9D9D9" w:themeFill="background1" w:themeFillShade="D9"/>
          </w:tcPr>
          <w:p w14:paraId="0C44152C" w14:textId="77777777" w:rsidR="00835D5F" w:rsidRPr="00AF3D58" w:rsidRDefault="00835D5F" w:rsidP="00835D5F">
            <w:pPr>
              <w:spacing w:after="0" w:line="240" w:lineRule="auto"/>
              <w:rPr>
                <w:sz w:val="20"/>
                <w:szCs w:val="20"/>
              </w:rPr>
            </w:pPr>
            <w:r w:rsidRPr="00AF3D58">
              <w:rPr>
                <w:b/>
                <w:sz w:val="20"/>
                <w:szCs w:val="20"/>
              </w:rPr>
              <w:t>Potential M&amp;D research focus area for M&amp;D research projects</w:t>
            </w:r>
          </w:p>
        </w:tc>
      </w:tr>
      <w:tr w:rsidR="00835D5F" w:rsidRPr="00AF3D58" w14:paraId="55D30C52" w14:textId="77777777" w:rsidTr="00B450DF">
        <w:trPr>
          <w:trHeight w:val="276"/>
        </w:trPr>
        <w:tc>
          <w:tcPr>
            <w:tcW w:w="2547" w:type="dxa"/>
            <w:gridSpan w:val="2"/>
            <w:shd w:val="clear" w:color="auto" w:fill="D9D9D9" w:themeFill="background1" w:themeFillShade="D9"/>
          </w:tcPr>
          <w:p w14:paraId="5D77A534" w14:textId="77777777" w:rsidR="00835D5F" w:rsidRPr="00AF3D58" w:rsidRDefault="00835D5F" w:rsidP="00835D5F">
            <w:pPr>
              <w:spacing w:after="0" w:line="240" w:lineRule="auto"/>
              <w:rPr>
                <w:b/>
                <w:sz w:val="20"/>
                <w:szCs w:val="20"/>
              </w:rPr>
            </w:pPr>
            <w:r w:rsidRPr="00AF3D58">
              <w:rPr>
                <w:b/>
                <w:sz w:val="20"/>
                <w:szCs w:val="20"/>
              </w:rPr>
              <w:t>Unit of Analysis</w:t>
            </w:r>
          </w:p>
        </w:tc>
        <w:tc>
          <w:tcPr>
            <w:tcW w:w="6741" w:type="dxa"/>
            <w:gridSpan w:val="3"/>
            <w:shd w:val="clear" w:color="auto" w:fill="D9D9D9" w:themeFill="background1" w:themeFillShade="D9"/>
          </w:tcPr>
          <w:p w14:paraId="52099CD9" w14:textId="77777777" w:rsidR="00835D5F" w:rsidRPr="00AF3D58" w:rsidRDefault="00835D5F" w:rsidP="00835D5F">
            <w:pPr>
              <w:spacing w:after="0" w:line="240" w:lineRule="auto"/>
              <w:rPr>
                <w:b/>
                <w:sz w:val="20"/>
                <w:szCs w:val="20"/>
              </w:rPr>
            </w:pPr>
            <w:r w:rsidRPr="00AF3D58">
              <w:rPr>
                <w:b/>
                <w:sz w:val="20"/>
                <w:szCs w:val="20"/>
              </w:rPr>
              <w:t>Research Focus</w:t>
            </w:r>
          </w:p>
        </w:tc>
      </w:tr>
      <w:tr w:rsidR="00835D5F" w:rsidRPr="00AF3D58" w14:paraId="07F5B56D" w14:textId="77777777" w:rsidTr="00B450DF">
        <w:trPr>
          <w:trHeight w:val="276"/>
        </w:trPr>
        <w:tc>
          <w:tcPr>
            <w:tcW w:w="2547" w:type="dxa"/>
            <w:gridSpan w:val="2"/>
            <w:shd w:val="clear" w:color="auto" w:fill="auto"/>
          </w:tcPr>
          <w:p w14:paraId="1C8C7750" w14:textId="77777777" w:rsidR="00835D5F" w:rsidRPr="00AF3D58" w:rsidRDefault="00835D5F" w:rsidP="00835D5F">
            <w:pPr>
              <w:spacing w:after="0" w:line="240" w:lineRule="auto"/>
              <w:rPr>
                <w:b/>
                <w:sz w:val="20"/>
                <w:szCs w:val="20"/>
              </w:rPr>
            </w:pPr>
            <w:r w:rsidRPr="00AF3D58">
              <w:rPr>
                <w:b/>
                <w:sz w:val="20"/>
                <w:szCs w:val="20"/>
              </w:rPr>
              <w:t>Emergency and disaster management</w:t>
            </w:r>
          </w:p>
        </w:tc>
        <w:tc>
          <w:tcPr>
            <w:tcW w:w="6741" w:type="dxa"/>
            <w:gridSpan w:val="3"/>
            <w:shd w:val="clear" w:color="auto" w:fill="auto"/>
          </w:tcPr>
          <w:p w14:paraId="53CA0384" w14:textId="77777777" w:rsidR="00835D5F" w:rsidRPr="00AF3D58" w:rsidRDefault="00835D5F" w:rsidP="00835D5F">
            <w:pPr>
              <w:spacing w:after="0" w:line="240" w:lineRule="auto"/>
              <w:rPr>
                <w:sz w:val="20"/>
                <w:szCs w:val="20"/>
              </w:rPr>
            </w:pPr>
            <w:r w:rsidRPr="00AF3D58">
              <w:rPr>
                <w:sz w:val="20"/>
                <w:szCs w:val="20"/>
              </w:rPr>
              <w:t xml:space="preserve">Suggested areas of focus in this field of study include the following: Emergency preparedness, explosives, fire safety, natural disasters, man-made </w:t>
            </w:r>
            <w:proofErr w:type="gramStart"/>
            <w:r w:rsidRPr="00AF3D58">
              <w:rPr>
                <w:sz w:val="20"/>
                <w:szCs w:val="20"/>
              </w:rPr>
              <w:t>disasters</w:t>
            </w:r>
            <w:proofErr w:type="gramEnd"/>
            <w:r w:rsidRPr="00AF3D58">
              <w:rPr>
                <w:sz w:val="20"/>
                <w:szCs w:val="20"/>
              </w:rPr>
              <w:t xml:space="preserve"> and terrorism awareness.</w:t>
            </w:r>
          </w:p>
        </w:tc>
      </w:tr>
    </w:tbl>
    <w:p w14:paraId="783DBB3C" w14:textId="77777777" w:rsidR="00F22FF4" w:rsidRPr="00AF3D58" w:rsidRDefault="00F22FF4">
      <w:pPr>
        <w:rPr>
          <w:sz w:val="20"/>
          <w:szCs w:val="20"/>
        </w:rPr>
      </w:pPr>
    </w:p>
    <w:p w14:paraId="7344E62E" w14:textId="77777777" w:rsidR="00DE12ED" w:rsidRPr="00AF3D58" w:rsidRDefault="00DE12ED" w:rsidP="00DE12ED">
      <w:pPr>
        <w:rPr>
          <w:sz w:val="20"/>
          <w:szCs w:val="20"/>
        </w:rPr>
      </w:pPr>
    </w:p>
    <w:sectPr w:rsidR="00DE12ED" w:rsidRPr="00AF3D58" w:rsidSect="004014B4">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6ECF3" w14:textId="77777777" w:rsidR="004014B4" w:rsidRDefault="004014B4" w:rsidP="007418B9">
      <w:pPr>
        <w:spacing w:after="0" w:line="240" w:lineRule="auto"/>
      </w:pPr>
      <w:r>
        <w:separator/>
      </w:r>
    </w:p>
  </w:endnote>
  <w:endnote w:type="continuationSeparator" w:id="0">
    <w:p w14:paraId="7BEDC19F" w14:textId="77777777" w:rsidR="004014B4" w:rsidRDefault="004014B4"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138F4" w14:textId="77777777" w:rsidR="00BB0C5E" w:rsidRDefault="00BB0C5E">
    <w:pPr>
      <w:pStyle w:val="Footer"/>
      <w:jc w:val="center"/>
    </w:pPr>
  </w:p>
  <w:p w14:paraId="6102D1C3"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E2636" w14:textId="77777777" w:rsidR="004014B4" w:rsidRDefault="004014B4" w:rsidP="007418B9">
      <w:pPr>
        <w:spacing w:after="0" w:line="240" w:lineRule="auto"/>
      </w:pPr>
      <w:r>
        <w:separator/>
      </w:r>
    </w:p>
  </w:footnote>
  <w:footnote w:type="continuationSeparator" w:id="0">
    <w:p w14:paraId="7EDF2A38" w14:textId="77777777" w:rsidR="004014B4" w:rsidRDefault="004014B4" w:rsidP="007418B9">
      <w:pPr>
        <w:spacing w:after="0" w:line="240" w:lineRule="auto"/>
      </w:pPr>
      <w:r>
        <w:continuationSeparator/>
      </w:r>
    </w:p>
  </w:footnote>
  <w:footnote w:id="1">
    <w:p w14:paraId="264790BD" w14:textId="77777777" w:rsidR="00835D5F" w:rsidRPr="002F036E" w:rsidRDefault="00835D5F" w:rsidP="00920FC4">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C0B56" w14:textId="798F6F02" w:rsidR="00F7508E" w:rsidRPr="00F7508E" w:rsidRDefault="00F7508E" w:rsidP="00F7508E">
    <w:pPr>
      <w:pStyle w:val="Header"/>
      <w:jc w:val="right"/>
      <w:rPr>
        <w:b/>
        <w:lang w:val="en-US"/>
      </w:rPr>
    </w:pPr>
    <w:r w:rsidRPr="00F7508E">
      <w:rPr>
        <w:b/>
        <w:lang w:val="en-US"/>
      </w:rPr>
      <w:t>CEMS Research Focus Areas 20</w:t>
    </w:r>
    <w:r w:rsidR="00A22AD1">
      <w:rPr>
        <w:b/>
        <w:lang w:val="en-US"/>
      </w:rPr>
      <w:t>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4975ECD"/>
    <w:multiLevelType w:val="hybridMultilevel"/>
    <w:tmpl w:val="44FA94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4E72D78"/>
    <w:multiLevelType w:val="hybridMultilevel"/>
    <w:tmpl w:val="4410A5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8"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0"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2"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A230FC6"/>
    <w:multiLevelType w:val="hybridMultilevel"/>
    <w:tmpl w:val="89AAA2B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4"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600376663">
    <w:abstractNumId w:val="23"/>
  </w:num>
  <w:num w:numId="2" w16cid:durableId="963729062">
    <w:abstractNumId w:val="14"/>
  </w:num>
  <w:num w:numId="3" w16cid:durableId="593128941">
    <w:abstractNumId w:val="9"/>
  </w:num>
  <w:num w:numId="4" w16cid:durableId="657074106">
    <w:abstractNumId w:val="34"/>
  </w:num>
  <w:num w:numId="5" w16cid:durableId="414673119">
    <w:abstractNumId w:val="4"/>
  </w:num>
  <w:num w:numId="6" w16cid:durableId="1576351813">
    <w:abstractNumId w:val="30"/>
  </w:num>
  <w:num w:numId="7" w16cid:durableId="1197624549">
    <w:abstractNumId w:val="5"/>
  </w:num>
  <w:num w:numId="8" w16cid:durableId="124006782">
    <w:abstractNumId w:val="2"/>
  </w:num>
  <w:num w:numId="9" w16cid:durableId="355811284">
    <w:abstractNumId w:val="3"/>
  </w:num>
  <w:num w:numId="10" w16cid:durableId="1011688867">
    <w:abstractNumId w:val="6"/>
  </w:num>
  <w:num w:numId="11" w16cid:durableId="152532022">
    <w:abstractNumId w:val="1"/>
  </w:num>
  <w:num w:numId="12" w16cid:durableId="726875777">
    <w:abstractNumId w:val="20"/>
  </w:num>
  <w:num w:numId="13" w16cid:durableId="1174106168">
    <w:abstractNumId w:val="18"/>
  </w:num>
  <w:num w:numId="14" w16cid:durableId="1060323173">
    <w:abstractNumId w:val="11"/>
  </w:num>
  <w:num w:numId="15" w16cid:durableId="513887498">
    <w:abstractNumId w:val="32"/>
  </w:num>
  <w:num w:numId="16" w16cid:durableId="525094812">
    <w:abstractNumId w:val="24"/>
  </w:num>
  <w:num w:numId="17" w16cid:durableId="1730767296">
    <w:abstractNumId w:val="13"/>
  </w:num>
  <w:num w:numId="18" w16cid:durableId="676003845">
    <w:abstractNumId w:val="22"/>
  </w:num>
  <w:num w:numId="19" w16cid:durableId="2146268155">
    <w:abstractNumId w:val="25"/>
  </w:num>
  <w:num w:numId="20" w16cid:durableId="1368989050">
    <w:abstractNumId w:val="27"/>
  </w:num>
  <w:num w:numId="21" w16cid:durableId="853685482">
    <w:abstractNumId w:val="8"/>
  </w:num>
  <w:num w:numId="22" w16cid:durableId="1762489042">
    <w:abstractNumId w:val="19"/>
  </w:num>
  <w:num w:numId="23" w16cid:durableId="18696401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23302901">
    <w:abstractNumId w:val="28"/>
  </w:num>
  <w:num w:numId="25" w16cid:durableId="111294392">
    <w:abstractNumId w:val="0"/>
  </w:num>
  <w:num w:numId="26" w16cid:durableId="1442411529">
    <w:abstractNumId w:val="16"/>
  </w:num>
  <w:num w:numId="27" w16cid:durableId="533810142">
    <w:abstractNumId w:val="10"/>
  </w:num>
  <w:num w:numId="28" w16cid:durableId="1206797955">
    <w:abstractNumId w:val="26"/>
  </w:num>
  <w:num w:numId="29" w16cid:durableId="277834449">
    <w:abstractNumId w:val="33"/>
  </w:num>
  <w:num w:numId="30" w16cid:durableId="205946038">
    <w:abstractNumId w:val="29"/>
  </w:num>
  <w:num w:numId="31" w16cid:durableId="2125155327">
    <w:abstractNumId w:val="21"/>
  </w:num>
  <w:num w:numId="32" w16cid:durableId="373316929">
    <w:abstractNumId w:val="17"/>
  </w:num>
  <w:num w:numId="33" w16cid:durableId="1366715808">
    <w:abstractNumId w:val="12"/>
  </w:num>
  <w:num w:numId="34" w16cid:durableId="1806196401">
    <w:abstractNumId w:val="7"/>
  </w:num>
  <w:num w:numId="35" w16cid:durableId="820006549">
    <w:abstractNumId w:val="31"/>
  </w:num>
  <w:num w:numId="36" w16cid:durableId="84528537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mwrAUANaTv4iwAAAA="/>
  </w:docVars>
  <w:rsids>
    <w:rsidRoot w:val="00C7453F"/>
    <w:rsid w:val="00004259"/>
    <w:rsid w:val="00011FCF"/>
    <w:rsid w:val="000174E3"/>
    <w:rsid w:val="00022460"/>
    <w:rsid w:val="00030640"/>
    <w:rsid w:val="00043D62"/>
    <w:rsid w:val="000547C9"/>
    <w:rsid w:val="00077858"/>
    <w:rsid w:val="00083794"/>
    <w:rsid w:val="000844D2"/>
    <w:rsid w:val="00092AF8"/>
    <w:rsid w:val="00096541"/>
    <w:rsid w:val="000A4509"/>
    <w:rsid w:val="000B2112"/>
    <w:rsid w:val="000C22DF"/>
    <w:rsid w:val="000C42DB"/>
    <w:rsid w:val="000C47C2"/>
    <w:rsid w:val="000D4DC5"/>
    <w:rsid w:val="000E2BCF"/>
    <w:rsid w:val="000E31C2"/>
    <w:rsid w:val="000E517C"/>
    <w:rsid w:val="000E6024"/>
    <w:rsid w:val="0010492E"/>
    <w:rsid w:val="001110A2"/>
    <w:rsid w:val="001126F9"/>
    <w:rsid w:val="00114785"/>
    <w:rsid w:val="0011559B"/>
    <w:rsid w:val="0012537E"/>
    <w:rsid w:val="001314DE"/>
    <w:rsid w:val="00144D68"/>
    <w:rsid w:val="001508EC"/>
    <w:rsid w:val="0015454A"/>
    <w:rsid w:val="00156F95"/>
    <w:rsid w:val="00164C47"/>
    <w:rsid w:val="00165D01"/>
    <w:rsid w:val="00167156"/>
    <w:rsid w:val="001720D3"/>
    <w:rsid w:val="00176448"/>
    <w:rsid w:val="00184987"/>
    <w:rsid w:val="00193B77"/>
    <w:rsid w:val="001A1660"/>
    <w:rsid w:val="001C38CC"/>
    <w:rsid w:val="001D4449"/>
    <w:rsid w:val="001D55E4"/>
    <w:rsid w:val="001E1700"/>
    <w:rsid w:val="001E24D2"/>
    <w:rsid w:val="001E703D"/>
    <w:rsid w:val="001F7457"/>
    <w:rsid w:val="00213D44"/>
    <w:rsid w:val="00215F88"/>
    <w:rsid w:val="002207C5"/>
    <w:rsid w:val="002343EC"/>
    <w:rsid w:val="002764A6"/>
    <w:rsid w:val="0028676D"/>
    <w:rsid w:val="00290390"/>
    <w:rsid w:val="00292635"/>
    <w:rsid w:val="0029610A"/>
    <w:rsid w:val="002A16B5"/>
    <w:rsid w:val="002C15D7"/>
    <w:rsid w:val="002C1986"/>
    <w:rsid w:val="002C2F98"/>
    <w:rsid w:val="002C6897"/>
    <w:rsid w:val="002D1A12"/>
    <w:rsid w:val="002D549C"/>
    <w:rsid w:val="002D686D"/>
    <w:rsid w:val="002E1D50"/>
    <w:rsid w:val="002F036E"/>
    <w:rsid w:val="002F7E99"/>
    <w:rsid w:val="003023C3"/>
    <w:rsid w:val="00303B90"/>
    <w:rsid w:val="00307A8B"/>
    <w:rsid w:val="00327657"/>
    <w:rsid w:val="00334828"/>
    <w:rsid w:val="003435AE"/>
    <w:rsid w:val="003508C1"/>
    <w:rsid w:val="003563DD"/>
    <w:rsid w:val="003637C5"/>
    <w:rsid w:val="00373950"/>
    <w:rsid w:val="00375CD7"/>
    <w:rsid w:val="003834D3"/>
    <w:rsid w:val="0038562E"/>
    <w:rsid w:val="003B0BAA"/>
    <w:rsid w:val="003B29B4"/>
    <w:rsid w:val="003B4487"/>
    <w:rsid w:val="003B4E72"/>
    <w:rsid w:val="003C5293"/>
    <w:rsid w:val="003C6B4B"/>
    <w:rsid w:val="003E012A"/>
    <w:rsid w:val="004014B4"/>
    <w:rsid w:val="0041426E"/>
    <w:rsid w:val="004322E1"/>
    <w:rsid w:val="00475F69"/>
    <w:rsid w:val="00477D3B"/>
    <w:rsid w:val="004916D1"/>
    <w:rsid w:val="004A2ED8"/>
    <w:rsid w:val="004C2A33"/>
    <w:rsid w:val="004D5F40"/>
    <w:rsid w:val="004E7F4B"/>
    <w:rsid w:val="004F01DE"/>
    <w:rsid w:val="00517592"/>
    <w:rsid w:val="005252EB"/>
    <w:rsid w:val="00533ED2"/>
    <w:rsid w:val="00537284"/>
    <w:rsid w:val="00544721"/>
    <w:rsid w:val="005518D8"/>
    <w:rsid w:val="0055299D"/>
    <w:rsid w:val="0056381E"/>
    <w:rsid w:val="00596D3B"/>
    <w:rsid w:val="005A3713"/>
    <w:rsid w:val="005C01B7"/>
    <w:rsid w:val="005C47EB"/>
    <w:rsid w:val="005D177B"/>
    <w:rsid w:val="005D3288"/>
    <w:rsid w:val="005E1AD0"/>
    <w:rsid w:val="00600BAC"/>
    <w:rsid w:val="0060588A"/>
    <w:rsid w:val="006308A5"/>
    <w:rsid w:val="0063137B"/>
    <w:rsid w:val="00634751"/>
    <w:rsid w:val="00641070"/>
    <w:rsid w:val="0065121E"/>
    <w:rsid w:val="006570F0"/>
    <w:rsid w:val="00661216"/>
    <w:rsid w:val="00684EA8"/>
    <w:rsid w:val="00685AF5"/>
    <w:rsid w:val="00694266"/>
    <w:rsid w:val="00695C0A"/>
    <w:rsid w:val="006C0BD9"/>
    <w:rsid w:val="006C5F14"/>
    <w:rsid w:val="006E0920"/>
    <w:rsid w:val="006E574C"/>
    <w:rsid w:val="006E78F7"/>
    <w:rsid w:val="006F7739"/>
    <w:rsid w:val="00700993"/>
    <w:rsid w:val="00703FE8"/>
    <w:rsid w:val="00704DC0"/>
    <w:rsid w:val="00731CAE"/>
    <w:rsid w:val="007336A2"/>
    <w:rsid w:val="007418B9"/>
    <w:rsid w:val="00761AB5"/>
    <w:rsid w:val="007717D0"/>
    <w:rsid w:val="007756E2"/>
    <w:rsid w:val="00794A86"/>
    <w:rsid w:val="007A2F71"/>
    <w:rsid w:val="007B0762"/>
    <w:rsid w:val="007B54B2"/>
    <w:rsid w:val="007B6BF3"/>
    <w:rsid w:val="007D2814"/>
    <w:rsid w:val="007D4805"/>
    <w:rsid w:val="007F14D5"/>
    <w:rsid w:val="007F2A58"/>
    <w:rsid w:val="00816096"/>
    <w:rsid w:val="00824645"/>
    <w:rsid w:val="0083563C"/>
    <w:rsid w:val="00835D5F"/>
    <w:rsid w:val="008410FF"/>
    <w:rsid w:val="00854124"/>
    <w:rsid w:val="008736F3"/>
    <w:rsid w:val="008A5A3F"/>
    <w:rsid w:val="008D5178"/>
    <w:rsid w:val="00902E7F"/>
    <w:rsid w:val="0091215C"/>
    <w:rsid w:val="00920FC4"/>
    <w:rsid w:val="00924BD5"/>
    <w:rsid w:val="00931EAD"/>
    <w:rsid w:val="00934D26"/>
    <w:rsid w:val="00946BA3"/>
    <w:rsid w:val="00947BD6"/>
    <w:rsid w:val="009562F0"/>
    <w:rsid w:val="009564FB"/>
    <w:rsid w:val="009656D4"/>
    <w:rsid w:val="0099041C"/>
    <w:rsid w:val="00994BF8"/>
    <w:rsid w:val="00996303"/>
    <w:rsid w:val="009A2770"/>
    <w:rsid w:val="009B739D"/>
    <w:rsid w:val="009C01A9"/>
    <w:rsid w:val="009C2F2C"/>
    <w:rsid w:val="009E3FE8"/>
    <w:rsid w:val="009E7647"/>
    <w:rsid w:val="009E7BB7"/>
    <w:rsid w:val="009F17EA"/>
    <w:rsid w:val="009F7837"/>
    <w:rsid w:val="00A00F11"/>
    <w:rsid w:val="00A1216B"/>
    <w:rsid w:val="00A134BF"/>
    <w:rsid w:val="00A17DEA"/>
    <w:rsid w:val="00A22AD1"/>
    <w:rsid w:val="00A332F7"/>
    <w:rsid w:val="00A36012"/>
    <w:rsid w:val="00A660EF"/>
    <w:rsid w:val="00A67267"/>
    <w:rsid w:val="00A70779"/>
    <w:rsid w:val="00A8459E"/>
    <w:rsid w:val="00A84A50"/>
    <w:rsid w:val="00A87309"/>
    <w:rsid w:val="00A912F2"/>
    <w:rsid w:val="00A9169A"/>
    <w:rsid w:val="00A97022"/>
    <w:rsid w:val="00AC3A32"/>
    <w:rsid w:val="00AC42A5"/>
    <w:rsid w:val="00AD1D48"/>
    <w:rsid w:val="00AD5335"/>
    <w:rsid w:val="00AD60F4"/>
    <w:rsid w:val="00AF3D58"/>
    <w:rsid w:val="00B13AD4"/>
    <w:rsid w:val="00B201B1"/>
    <w:rsid w:val="00B212F7"/>
    <w:rsid w:val="00B2203C"/>
    <w:rsid w:val="00B35FA5"/>
    <w:rsid w:val="00B36494"/>
    <w:rsid w:val="00B450DF"/>
    <w:rsid w:val="00B51E89"/>
    <w:rsid w:val="00B574E9"/>
    <w:rsid w:val="00B64EFC"/>
    <w:rsid w:val="00B65755"/>
    <w:rsid w:val="00B705D1"/>
    <w:rsid w:val="00B7092A"/>
    <w:rsid w:val="00B709A5"/>
    <w:rsid w:val="00B748D5"/>
    <w:rsid w:val="00B811D6"/>
    <w:rsid w:val="00B83E8E"/>
    <w:rsid w:val="00BB090B"/>
    <w:rsid w:val="00BB0C5E"/>
    <w:rsid w:val="00BB139D"/>
    <w:rsid w:val="00BB62B7"/>
    <w:rsid w:val="00BC4030"/>
    <w:rsid w:val="00BF7672"/>
    <w:rsid w:val="00C03623"/>
    <w:rsid w:val="00C15DF3"/>
    <w:rsid w:val="00C55692"/>
    <w:rsid w:val="00C556FA"/>
    <w:rsid w:val="00C74497"/>
    <w:rsid w:val="00C7453F"/>
    <w:rsid w:val="00C843DB"/>
    <w:rsid w:val="00CA2144"/>
    <w:rsid w:val="00CA62E3"/>
    <w:rsid w:val="00CC0FEE"/>
    <w:rsid w:val="00CD64AE"/>
    <w:rsid w:val="00CE02EE"/>
    <w:rsid w:val="00CE07DF"/>
    <w:rsid w:val="00CE19B3"/>
    <w:rsid w:val="00D1016C"/>
    <w:rsid w:val="00D5010A"/>
    <w:rsid w:val="00D56A17"/>
    <w:rsid w:val="00DA083B"/>
    <w:rsid w:val="00DA7BDE"/>
    <w:rsid w:val="00DC7D77"/>
    <w:rsid w:val="00DD2983"/>
    <w:rsid w:val="00DD7F78"/>
    <w:rsid w:val="00DE12ED"/>
    <w:rsid w:val="00DF00D9"/>
    <w:rsid w:val="00E13E38"/>
    <w:rsid w:val="00E14283"/>
    <w:rsid w:val="00E2395E"/>
    <w:rsid w:val="00E24D27"/>
    <w:rsid w:val="00E77D4E"/>
    <w:rsid w:val="00E81687"/>
    <w:rsid w:val="00E81BE3"/>
    <w:rsid w:val="00E93F4C"/>
    <w:rsid w:val="00E96127"/>
    <w:rsid w:val="00EA68FE"/>
    <w:rsid w:val="00EB0AEF"/>
    <w:rsid w:val="00EC1C2E"/>
    <w:rsid w:val="00ED2C8B"/>
    <w:rsid w:val="00ED5056"/>
    <w:rsid w:val="00EE723C"/>
    <w:rsid w:val="00EF3D86"/>
    <w:rsid w:val="00F0057D"/>
    <w:rsid w:val="00F009DE"/>
    <w:rsid w:val="00F104BF"/>
    <w:rsid w:val="00F138C7"/>
    <w:rsid w:val="00F15D91"/>
    <w:rsid w:val="00F22FF4"/>
    <w:rsid w:val="00F42B8B"/>
    <w:rsid w:val="00F51093"/>
    <w:rsid w:val="00F7508E"/>
    <w:rsid w:val="00F7602D"/>
    <w:rsid w:val="00F76BBD"/>
    <w:rsid w:val="00FB33E3"/>
    <w:rsid w:val="00FB410B"/>
    <w:rsid w:val="00FB5B09"/>
    <w:rsid w:val="00FB7E18"/>
    <w:rsid w:val="00FC720C"/>
    <w:rsid w:val="00FD360C"/>
    <w:rsid w:val="00FE2EDE"/>
    <w:rsid w:val="00FE37EF"/>
    <w:rsid w:val="00FE46B3"/>
    <w:rsid w:val="00FE57AC"/>
    <w:rsid w:val="00FE7095"/>
    <w:rsid w:val="00FF3982"/>
    <w:rsid w:val="00FF4E37"/>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8C15C5"/>
  <w15:docId w15:val="{BA3F0A4B-D7B0-45F8-A074-9B9EBC97C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260114897">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271207947">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4624-5033"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orcid.org/0000-0002-6605-7929" TargetMode="External"/><Relationship Id="rId4" Type="http://schemas.openxmlformats.org/officeDocument/2006/relationships/settings" Target="settings.xml"/><Relationship Id="rId9" Type="http://schemas.openxmlformats.org/officeDocument/2006/relationships/hyperlink" Target="https://orcid.org/0000-0002-0975-894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CBA91EDE-1A7A-4B80-99EB-49A66875E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1179</Words>
  <Characters>6721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7885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Jansen van Rensburg, Mari</dc:creator>
  <cp:keywords/>
  <dc:description/>
  <cp:lastModifiedBy>Amusako</cp:lastModifiedBy>
  <cp:revision>12</cp:revision>
  <cp:lastPrinted>2018-03-23T12:20:00Z</cp:lastPrinted>
  <dcterms:created xsi:type="dcterms:W3CDTF">2020-04-21T10:30:00Z</dcterms:created>
  <dcterms:modified xsi:type="dcterms:W3CDTF">2024-03-21T13:22:00Z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GrammarlyDocumentId">
    <vt:lpwstr>052be46e096daba322e2298166d6ca9433a86ae8645d01bee0a9a8cb29f6300e</vt:lpwstr>
  </property>
</Properties>
</file>