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7D8D"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321"/>
        <w:gridCol w:w="7507"/>
        <w:gridCol w:w="1674"/>
      </w:tblGrid>
      <w:tr w:rsidR="00242DC5" w:rsidRPr="004D6C6A" w14:paraId="1AA4FEDC" w14:textId="77777777" w:rsidTr="00144E3A">
        <w:trPr>
          <w:tblHeader/>
        </w:trPr>
        <w:tc>
          <w:tcPr>
            <w:tcW w:w="877" w:type="pct"/>
            <w:tcBorders>
              <w:bottom w:val="single" w:sz="4" w:space="0" w:color="auto"/>
            </w:tcBorders>
            <w:shd w:val="clear" w:color="auto" w:fill="D99594" w:themeFill="accent2" w:themeFillTint="99"/>
            <w:vAlign w:val="center"/>
          </w:tcPr>
          <w:p w14:paraId="75EC8567" w14:textId="77777777" w:rsidR="00242DC5" w:rsidRPr="004D6C6A" w:rsidRDefault="00242DC5" w:rsidP="004D6C6A">
            <w:pPr>
              <w:spacing w:before="120" w:after="120" w:line="240" w:lineRule="atLeast"/>
              <w:rPr>
                <w:rFonts w:ascii="Arial" w:hAnsi="Arial"/>
                <w:b/>
                <w:sz w:val="20"/>
                <w:szCs w:val="20"/>
                <w:lang w:val="en-GB"/>
              </w:rPr>
            </w:pPr>
            <w:r w:rsidRPr="004D6C6A">
              <w:rPr>
                <w:rFonts w:ascii="Arial" w:hAnsi="Arial"/>
                <w:b/>
                <w:sz w:val="20"/>
                <w:szCs w:val="20"/>
                <w:lang w:val="en-GB"/>
              </w:rPr>
              <w:t>Research Focus Area</w:t>
            </w:r>
          </w:p>
        </w:tc>
        <w:tc>
          <w:tcPr>
            <w:tcW w:w="4123" w:type="pct"/>
            <w:gridSpan w:val="3"/>
            <w:tcBorders>
              <w:bottom w:val="single" w:sz="4" w:space="0" w:color="auto"/>
            </w:tcBorders>
            <w:shd w:val="clear" w:color="auto" w:fill="D99594" w:themeFill="accent2" w:themeFillTint="99"/>
            <w:vAlign w:val="center"/>
          </w:tcPr>
          <w:p w14:paraId="0DC6B1F0" w14:textId="3AE48CB1" w:rsidR="00242DC5" w:rsidRPr="004D6C6A" w:rsidRDefault="00CC64EB" w:rsidP="004D6C6A">
            <w:pPr>
              <w:spacing w:before="120" w:after="120" w:line="240" w:lineRule="atLeast"/>
              <w:rPr>
                <w:rFonts w:ascii="Arial" w:hAnsi="Arial"/>
                <w:sz w:val="20"/>
                <w:szCs w:val="20"/>
                <w:lang w:val="en-GB"/>
              </w:rPr>
            </w:pPr>
            <w:r>
              <w:rPr>
                <w:rFonts w:ascii="Arial" w:hAnsi="Arial"/>
                <w:sz w:val="20"/>
                <w:szCs w:val="20"/>
              </w:rPr>
              <w:t>Strategic dynamics</w:t>
            </w:r>
            <w:r w:rsidRPr="00CC64EB">
              <w:rPr>
                <w:rFonts w:ascii="Arial" w:hAnsi="Arial"/>
                <w:sz w:val="20"/>
                <w:szCs w:val="20"/>
              </w:rPr>
              <w:t>, Digital Transformation</w:t>
            </w:r>
            <w:r>
              <w:rPr>
                <w:rFonts w:ascii="Arial" w:hAnsi="Arial"/>
                <w:sz w:val="20"/>
                <w:szCs w:val="20"/>
              </w:rPr>
              <w:t xml:space="preserve"> (Digital business models, digital disruption, digital strategy, digital dynamics), </w:t>
            </w:r>
            <w:r w:rsidRPr="00CC64EB">
              <w:rPr>
                <w:rFonts w:ascii="Arial" w:hAnsi="Arial"/>
                <w:sz w:val="20"/>
                <w:szCs w:val="20"/>
              </w:rPr>
              <w:t>Complex Adaptive Systems</w:t>
            </w:r>
            <w:r>
              <w:rPr>
                <w:rFonts w:ascii="Arial" w:hAnsi="Arial"/>
                <w:sz w:val="20"/>
                <w:szCs w:val="20"/>
              </w:rPr>
              <w:t xml:space="preserve">, System Dynamics, Systems Thinking, Systems Engineering, Energy dynamics. </w:t>
            </w:r>
          </w:p>
        </w:tc>
      </w:tr>
      <w:tr w:rsidR="00242DC5" w:rsidRPr="004D6C6A" w14:paraId="129EF564" w14:textId="77777777" w:rsidTr="00144E3A">
        <w:tc>
          <w:tcPr>
            <w:tcW w:w="877" w:type="pct"/>
            <w:tcBorders>
              <w:bottom w:val="single" w:sz="4" w:space="0" w:color="auto"/>
            </w:tcBorders>
            <w:shd w:val="clear" w:color="auto" w:fill="auto"/>
            <w:vAlign w:val="center"/>
          </w:tcPr>
          <w:p w14:paraId="46D1FA04" w14:textId="77777777" w:rsidR="00242DC5" w:rsidRPr="004D6C6A" w:rsidRDefault="00242DC5" w:rsidP="004D6C6A">
            <w:pPr>
              <w:spacing w:before="120" w:after="120" w:line="240" w:lineRule="atLeast"/>
              <w:rPr>
                <w:rFonts w:ascii="Arial" w:hAnsi="Arial"/>
                <w:b/>
                <w:sz w:val="20"/>
                <w:szCs w:val="20"/>
                <w:lang w:val="en-GB"/>
              </w:rPr>
            </w:pPr>
            <w:r w:rsidRPr="004D6C6A">
              <w:rPr>
                <w:rFonts w:ascii="Arial" w:hAnsi="Arial"/>
                <w:b/>
                <w:sz w:val="20"/>
                <w:szCs w:val="20"/>
                <w:lang w:val="en-GB"/>
              </w:rPr>
              <w:t>Short description</w:t>
            </w:r>
          </w:p>
        </w:tc>
        <w:tc>
          <w:tcPr>
            <w:tcW w:w="4123" w:type="pct"/>
            <w:gridSpan w:val="3"/>
            <w:tcBorders>
              <w:bottom w:val="single" w:sz="4" w:space="0" w:color="auto"/>
            </w:tcBorders>
            <w:shd w:val="clear" w:color="auto" w:fill="auto"/>
            <w:vAlign w:val="center"/>
          </w:tcPr>
          <w:p w14:paraId="007138DC" w14:textId="6A7CE268" w:rsidR="00242DC5" w:rsidRPr="00C73493" w:rsidRDefault="00BC3BEE" w:rsidP="00C73493">
            <w:pPr>
              <w:spacing w:before="120" w:after="120" w:line="240" w:lineRule="atLeast"/>
              <w:jc w:val="both"/>
              <w:rPr>
                <w:rFonts w:ascii="Arial" w:hAnsi="Arial"/>
                <w:sz w:val="20"/>
                <w:szCs w:val="20"/>
              </w:rPr>
            </w:pPr>
            <w:r w:rsidRPr="00BC3BEE">
              <w:rPr>
                <w:rFonts w:ascii="Arial" w:hAnsi="Arial"/>
                <w:sz w:val="20"/>
                <w:szCs w:val="20"/>
              </w:rPr>
              <w:t>This research area explores how organisations create sustainable value in complex and rapidly changing environments. It focuses on strategic dynamics, digital transformation (including digital business models, digital disruption, digital strategy, and digital dynamics), systems thinking, system dynamics, complex adaptive systems, systems engineering, and energy dynamics to develop innovative, resilient, and evidence-based solutions for organisational, societal, and sustainability challenges.</w:t>
            </w:r>
          </w:p>
        </w:tc>
      </w:tr>
      <w:tr w:rsidR="00242DC5" w:rsidRPr="004D6C6A" w14:paraId="53DB37E8" w14:textId="77777777" w:rsidTr="00242DC5">
        <w:tc>
          <w:tcPr>
            <w:tcW w:w="5000" w:type="pct"/>
            <w:gridSpan w:val="4"/>
            <w:shd w:val="clear" w:color="auto" w:fill="FABF8F" w:themeFill="accent6" w:themeFillTint="99"/>
            <w:vAlign w:val="center"/>
          </w:tcPr>
          <w:p w14:paraId="7738A9E9" w14:textId="77777777" w:rsidR="00242DC5" w:rsidRPr="004D6C6A" w:rsidRDefault="00242DC5" w:rsidP="004D6C6A">
            <w:pPr>
              <w:spacing w:before="120" w:after="120" w:line="240" w:lineRule="atLeast"/>
              <w:jc w:val="center"/>
              <w:rPr>
                <w:rFonts w:ascii="Arial" w:hAnsi="Arial"/>
                <w:sz w:val="20"/>
                <w:szCs w:val="20"/>
                <w:lang w:val="en-GB"/>
              </w:rPr>
            </w:pPr>
            <w:r w:rsidRPr="004D6C6A">
              <w:rPr>
                <w:rFonts w:ascii="Arial" w:hAnsi="Arial"/>
                <w:b/>
                <w:sz w:val="20"/>
                <w:szCs w:val="20"/>
                <w:lang w:val="en-GB"/>
              </w:rPr>
              <w:t>Supervision Team</w:t>
            </w:r>
          </w:p>
        </w:tc>
      </w:tr>
      <w:tr w:rsidR="00242DC5" w:rsidRPr="004D6C6A" w14:paraId="143627FB" w14:textId="77777777" w:rsidTr="00144E3A">
        <w:trPr>
          <w:trHeight w:val="276"/>
        </w:trPr>
        <w:tc>
          <w:tcPr>
            <w:tcW w:w="877" w:type="pct"/>
            <w:shd w:val="clear" w:color="auto" w:fill="auto"/>
            <w:vAlign w:val="center"/>
          </w:tcPr>
          <w:p w14:paraId="1BFCA2DD" w14:textId="77777777" w:rsidR="00242DC5" w:rsidRPr="004D6C6A" w:rsidRDefault="00242DC5" w:rsidP="004D6C6A">
            <w:pPr>
              <w:spacing w:before="120" w:after="120" w:line="240" w:lineRule="atLeast"/>
              <w:jc w:val="center"/>
              <w:rPr>
                <w:rFonts w:ascii="Arial" w:hAnsi="Arial"/>
                <w:sz w:val="20"/>
                <w:szCs w:val="20"/>
                <w:lang w:val="en-GB"/>
              </w:rPr>
            </w:pPr>
            <w:r w:rsidRPr="004D6C6A">
              <w:rPr>
                <w:rFonts w:ascii="Arial" w:hAnsi="Arial"/>
                <w:b/>
                <w:sz w:val="20"/>
                <w:szCs w:val="20"/>
                <w:lang w:val="en-GB"/>
              </w:rPr>
              <w:t>Name</w:t>
            </w:r>
          </w:p>
        </w:tc>
        <w:tc>
          <w:tcPr>
            <w:tcW w:w="832" w:type="pct"/>
            <w:shd w:val="clear" w:color="auto" w:fill="auto"/>
            <w:vAlign w:val="center"/>
          </w:tcPr>
          <w:p w14:paraId="4600BB1F" w14:textId="77777777" w:rsidR="00242DC5" w:rsidRPr="004D6C6A" w:rsidRDefault="00242DC5" w:rsidP="004D6C6A">
            <w:pPr>
              <w:spacing w:before="120" w:after="120" w:line="240" w:lineRule="atLeast"/>
              <w:jc w:val="center"/>
              <w:rPr>
                <w:rFonts w:ascii="Arial" w:hAnsi="Arial"/>
                <w:sz w:val="20"/>
                <w:szCs w:val="20"/>
                <w:lang w:val="fr-FR"/>
              </w:rPr>
            </w:pPr>
            <w:proofErr w:type="gramStart"/>
            <w:r w:rsidRPr="004D6C6A">
              <w:rPr>
                <w:rFonts w:ascii="Arial" w:hAnsi="Arial"/>
                <w:b/>
                <w:sz w:val="20"/>
                <w:szCs w:val="20"/>
                <w:lang w:val="fr-FR"/>
              </w:rPr>
              <w:t>Email</w:t>
            </w:r>
            <w:proofErr w:type="gramEnd"/>
          </w:p>
        </w:tc>
        <w:tc>
          <w:tcPr>
            <w:tcW w:w="2691" w:type="pct"/>
            <w:shd w:val="clear" w:color="auto" w:fill="auto"/>
            <w:vAlign w:val="center"/>
          </w:tcPr>
          <w:p w14:paraId="25176F00" w14:textId="77777777" w:rsidR="00242DC5" w:rsidRPr="004D6C6A" w:rsidRDefault="00242DC5" w:rsidP="004D6C6A">
            <w:pPr>
              <w:spacing w:before="120" w:after="120" w:line="240" w:lineRule="atLeast"/>
              <w:jc w:val="center"/>
              <w:rPr>
                <w:rFonts w:ascii="Arial" w:hAnsi="Arial"/>
                <w:b/>
                <w:bCs/>
                <w:sz w:val="20"/>
                <w:szCs w:val="20"/>
                <w:lang w:val="en-GB"/>
              </w:rPr>
            </w:pPr>
            <w:r w:rsidRPr="004D6C6A">
              <w:rPr>
                <w:rFonts w:ascii="Arial" w:hAnsi="Arial"/>
                <w:b/>
                <w:bCs/>
                <w:sz w:val="20"/>
                <w:szCs w:val="20"/>
                <w:lang w:val="en-GB"/>
              </w:rPr>
              <w:t>Academic Profile</w:t>
            </w:r>
          </w:p>
        </w:tc>
        <w:tc>
          <w:tcPr>
            <w:tcW w:w="600" w:type="pct"/>
            <w:shd w:val="clear" w:color="auto" w:fill="auto"/>
            <w:vAlign w:val="center"/>
          </w:tcPr>
          <w:p w14:paraId="0F0A2B92" w14:textId="77777777" w:rsidR="00242DC5" w:rsidRPr="004D6C6A" w:rsidRDefault="00242DC5" w:rsidP="004D6C6A">
            <w:pPr>
              <w:spacing w:before="120" w:after="120" w:line="240" w:lineRule="atLeast"/>
              <w:jc w:val="center"/>
              <w:rPr>
                <w:rFonts w:ascii="Arial" w:hAnsi="Arial"/>
                <w:b/>
                <w:sz w:val="20"/>
                <w:szCs w:val="20"/>
                <w:lang w:val="en-GB"/>
              </w:rPr>
            </w:pPr>
            <w:r w:rsidRPr="004D6C6A">
              <w:rPr>
                <w:rFonts w:ascii="Arial" w:hAnsi="Arial"/>
                <w:b/>
                <w:sz w:val="20"/>
                <w:szCs w:val="20"/>
                <w:lang w:val="en-GB"/>
              </w:rPr>
              <w:t>Capacity</w:t>
            </w:r>
          </w:p>
        </w:tc>
      </w:tr>
      <w:tr w:rsidR="006D7067" w:rsidRPr="004D6C6A" w14:paraId="1B5E088E" w14:textId="77777777" w:rsidTr="002B1A54">
        <w:trPr>
          <w:trHeight w:val="276"/>
        </w:trPr>
        <w:tc>
          <w:tcPr>
            <w:tcW w:w="877" w:type="pct"/>
            <w:shd w:val="clear" w:color="auto" w:fill="auto"/>
          </w:tcPr>
          <w:p w14:paraId="7CA8748A" w14:textId="5AE27872" w:rsidR="006D7067" w:rsidRPr="004D6C6A" w:rsidRDefault="006D7067" w:rsidP="002B1A54">
            <w:pPr>
              <w:spacing w:before="120" w:after="120" w:line="240" w:lineRule="atLeast"/>
              <w:rPr>
                <w:rFonts w:ascii="Arial" w:hAnsi="Arial"/>
                <w:sz w:val="20"/>
                <w:szCs w:val="20"/>
                <w:lang w:val="en-GB"/>
              </w:rPr>
            </w:pPr>
            <w:r w:rsidRPr="004D6C6A">
              <w:rPr>
                <w:rFonts w:ascii="Arial" w:hAnsi="Arial"/>
                <w:sz w:val="20"/>
                <w:szCs w:val="20"/>
                <w:lang w:val="en-GB"/>
              </w:rPr>
              <w:t>Prof</w:t>
            </w:r>
            <w:r w:rsidR="000B6B99">
              <w:rPr>
                <w:rFonts w:ascii="Arial" w:hAnsi="Arial"/>
                <w:sz w:val="20"/>
                <w:szCs w:val="20"/>
                <w:lang w:val="en-GB"/>
              </w:rPr>
              <w:t xml:space="preserve"> K Mokgohloa</w:t>
            </w:r>
          </w:p>
        </w:tc>
        <w:tc>
          <w:tcPr>
            <w:tcW w:w="832" w:type="pct"/>
            <w:shd w:val="clear" w:color="auto" w:fill="auto"/>
          </w:tcPr>
          <w:p w14:paraId="658BC05A" w14:textId="2650C7E0" w:rsidR="006D7067" w:rsidRPr="004D6C6A" w:rsidRDefault="006D7067" w:rsidP="004D6C6A">
            <w:pPr>
              <w:spacing w:before="120" w:after="120" w:line="240" w:lineRule="atLeast"/>
              <w:rPr>
                <w:rFonts w:ascii="Arial" w:hAnsi="Arial"/>
                <w:sz w:val="20"/>
                <w:szCs w:val="20"/>
                <w:lang w:val="fr-FR"/>
              </w:rPr>
            </w:pPr>
            <w:r w:rsidRPr="004D6C6A">
              <w:rPr>
                <w:rFonts w:ascii="Arial" w:hAnsi="Arial"/>
                <w:sz w:val="20"/>
                <w:szCs w:val="20"/>
              </w:rPr>
              <w:t>m</w:t>
            </w:r>
            <w:r w:rsidR="00CC64EB">
              <w:rPr>
                <w:rFonts w:ascii="Arial" w:hAnsi="Arial"/>
                <w:sz w:val="20"/>
                <w:szCs w:val="20"/>
              </w:rPr>
              <w:t>okgok</w:t>
            </w:r>
            <w:r w:rsidRPr="004D6C6A">
              <w:rPr>
                <w:rFonts w:ascii="Arial" w:hAnsi="Arial"/>
                <w:sz w:val="20"/>
                <w:szCs w:val="20"/>
              </w:rPr>
              <w:t>@unisa.ac.za</w:t>
            </w:r>
          </w:p>
        </w:tc>
        <w:tc>
          <w:tcPr>
            <w:tcW w:w="2691" w:type="pct"/>
            <w:shd w:val="clear" w:color="auto" w:fill="auto"/>
          </w:tcPr>
          <w:p w14:paraId="127D3FF7" w14:textId="7318118A" w:rsidR="00CC64EB"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 xml:space="preserve">PhD (Industrial Engineering), University of South Africa </w:t>
            </w:r>
          </w:p>
          <w:p w14:paraId="6A0B9B1A" w14:textId="713375BB" w:rsidR="00CC64EB"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MTech</w:t>
            </w:r>
            <w:r>
              <w:rPr>
                <w:rFonts w:ascii="Arial" w:eastAsia="Times New Roman" w:hAnsi="Arial"/>
                <w:sz w:val="20"/>
                <w:szCs w:val="20"/>
              </w:rPr>
              <w:t xml:space="preserve"> (Eng): </w:t>
            </w:r>
            <w:r w:rsidRPr="00CC64EB">
              <w:rPr>
                <w:rFonts w:ascii="Arial" w:eastAsia="Times New Roman" w:hAnsi="Arial"/>
                <w:sz w:val="20"/>
                <w:szCs w:val="20"/>
              </w:rPr>
              <w:t>Industrial</w:t>
            </w:r>
            <w:r>
              <w:rPr>
                <w:rFonts w:ascii="Arial" w:eastAsia="Times New Roman" w:hAnsi="Arial"/>
                <w:sz w:val="20"/>
                <w:szCs w:val="20"/>
              </w:rPr>
              <w:t>,</w:t>
            </w:r>
            <w:r w:rsidRPr="00CC64EB">
              <w:rPr>
                <w:rFonts w:ascii="Arial" w:eastAsia="Times New Roman" w:hAnsi="Arial"/>
                <w:sz w:val="20"/>
                <w:szCs w:val="20"/>
              </w:rPr>
              <w:t xml:space="preserve"> Tshwane University of Technology </w:t>
            </w:r>
            <w:r>
              <w:rPr>
                <w:rFonts w:ascii="Arial" w:eastAsia="Times New Roman" w:hAnsi="Arial"/>
                <w:sz w:val="20"/>
                <w:szCs w:val="20"/>
              </w:rPr>
              <w:t>(TUT)</w:t>
            </w:r>
          </w:p>
          <w:p w14:paraId="5A4A335F" w14:textId="6CE1B19A" w:rsidR="00CC64EB"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BTech</w:t>
            </w:r>
            <w:r>
              <w:rPr>
                <w:rFonts w:ascii="Arial" w:eastAsia="Times New Roman" w:hAnsi="Arial"/>
                <w:sz w:val="20"/>
                <w:szCs w:val="20"/>
              </w:rPr>
              <w:t xml:space="preserve"> (Eng): </w:t>
            </w:r>
            <w:r w:rsidRPr="00CC64EB">
              <w:rPr>
                <w:rFonts w:ascii="Arial" w:eastAsia="Times New Roman" w:hAnsi="Arial"/>
                <w:sz w:val="20"/>
                <w:szCs w:val="20"/>
              </w:rPr>
              <w:t>Industrial</w:t>
            </w:r>
            <w:r>
              <w:rPr>
                <w:rFonts w:ascii="Arial" w:eastAsia="Times New Roman" w:hAnsi="Arial"/>
                <w:sz w:val="20"/>
                <w:szCs w:val="20"/>
              </w:rPr>
              <w:t>. Technikon Pretoria, now TUT</w:t>
            </w:r>
          </w:p>
          <w:p w14:paraId="6BA1B82C" w14:textId="571D5687" w:rsidR="00CC64EB"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Graduate Diploma in Engineering (Civil)</w:t>
            </w:r>
            <w:r>
              <w:rPr>
                <w:rFonts w:ascii="Arial" w:eastAsia="Times New Roman" w:hAnsi="Arial"/>
                <w:sz w:val="20"/>
                <w:szCs w:val="20"/>
              </w:rPr>
              <w:t>: Wits University</w:t>
            </w:r>
          </w:p>
          <w:p w14:paraId="36236912" w14:textId="5F3BFBB0" w:rsidR="00CC64EB"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National Diploma</w:t>
            </w:r>
            <w:r>
              <w:rPr>
                <w:rFonts w:ascii="Arial" w:eastAsia="Times New Roman" w:hAnsi="Arial"/>
                <w:sz w:val="20"/>
                <w:szCs w:val="20"/>
              </w:rPr>
              <w:t xml:space="preserve"> (Eng): </w:t>
            </w:r>
            <w:r w:rsidRPr="00CC64EB">
              <w:rPr>
                <w:rFonts w:ascii="Arial" w:eastAsia="Times New Roman" w:hAnsi="Arial"/>
                <w:sz w:val="20"/>
                <w:szCs w:val="20"/>
              </w:rPr>
              <w:t>Chemica</w:t>
            </w:r>
            <w:r>
              <w:rPr>
                <w:rFonts w:ascii="Arial" w:eastAsia="Times New Roman" w:hAnsi="Arial"/>
                <w:sz w:val="20"/>
                <w:szCs w:val="20"/>
              </w:rPr>
              <w:t>l, Technikon Northern Transvaal, now TUT</w:t>
            </w:r>
            <w:r w:rsidRPr="00CC64EB">
              <w:rPr>
                <w:rFonts w:ascii="Arial" w:eastAsia="Times New Roman" w:hAnsi="Arial"/>
                <w:sz w:val="20"/>
                <w:szCs w:val="20"/>
              </w:rPr>
              <w:t xml:space="preserve"> </w:t>
            </w:r>
          </w:p>
          <w:p w14:paraId="7E4A37F1" w14:textId="64A6EE7D" w:rsidR="006D7067" w:rsidRPr="00CC64EB" w:rsidRDefault="00CC64EB" w:rsidP="00CC64EB">
            <w:pPr>
              <w:pStyle w:val="ListParagraph"/>
              <w:numPr>
                <w:ilvl w:val="0"/>
                <w:numId w:val="16"/>
              </w:numPr>
              <w:spacing w:before="120" w:after="120" w:line="240" w:lineRule="atLeast"/>
              <w:jc w:val="both"/>
              <w:rPr>
                <w:rFonts w:ascii="Arial" w:eastAsia="Times New Roman" w:hAnsi="Arial"/>
                <w:sz w:val="20"/>
                <w:szCs w:val="20"/>
              </w:rPr>
            </w:pPr>
            <w:r w:rsidRPr="00CC64EB">
              <w:rPr>
                <w:rFonts w:ascii="Arial" w:eastAsia="Times New Roman" w:hAnsi="Arial"/>
                <w:sz w:val="20"/>
                <w:szCs w:val="20"/>
              </w:rPr>
              <w:t>International Coaching Federation Accredited Ubuntu Coach</w:t>
            </w:r>
          </w:p>
          <w:p w14:paraId="37300DB3" w14:textId="495223EE" w:rsidR="00CC64EB" w:rsidRPr="00CC64EB" w:rsidRDefault="00CC64EB" w:rsidP="00CC64EB">
            <w:pPr>
              <w:spacing w:before="120" w:after="120" w:line="240" w:lineRule="atLeast"/>
              <w:jc w:val="both"/>
              <w:rPr>
                <w:rFonts w:ascii="Arial" w:hAnsi="Arial"/>
                <w:bCs/>
                <w:sz w:val="20"/>
                <w:szCs w:val="20"/>
              </w:rPr>
            </w:pPr>
            <w:r w:rsidRPr="00CC64EB">
              <w:rPr>
                <w:rFonts w:ascii="Arial" w:hAnsi="Arial"/>
                <w:bCs/>
                <w:sz w:val="20"/>
                <w:szCs w:val="20"/>
              </w:rPr>
              <w:t>Prof. Kgabo Mokgohloa is an Associate Professor in the Graduate School of Business Leadership at the University of South Africa. His work integrates systems thinking, system dynamics, digital transformation, industrial engineering and</w:t>
            </w:r>
            <w:r>
              <w:rPr>
                <w:rFonts w:ascii="Arial" w:hAnsi="Arial"/>
                <w:bCs/>
                <w:sz w:val="20"/>
                <w:szCs w:val="20"/>
              </w:rPr>
              <w:t xml:space="preserve"> strateg</w:t>
            </w:r>
            <w:r w:rsidR="00BC3BEE">
              <w:rPr>
                <w:rFonts w:ascii="Arial" w:hAnsi="Arial"/>
                <w:bCs/>
                <w:sz w:val="20"/>
                <w:szCs w:val="20"/>
              </w:rPr>
              <w:t>y design &amp; strategy deployment, and strategic dynamics</w:t>
            </w:r>
            <w:r w:rsidRPr="00CC64EB">
              <w:rPr>
                <w:rFonts w:ascii="Arial" w:hAnsi="Arial"/>
                <w:bCs/>
                <w:sz w:val="20"/>
                <w:szCs w:val="20"/>
              </w:rPr>
              <w:t xml:space="preserve"> to solve complex organisational and societal challenges. He has more than twenty-five years of </w:t>
            </w:r>
            <w:r w:rsidR="00BC3BEE">
              <w:rPr>
                <w:rFonts w:ascii="Arial" w:hAnsi="Arial"/>
                <w:bCs/>
                <w:sz w:val="20"/>
                <w:szCs w:val="20"/>
              </w:rPr>
              <w:t>executive</w:t>
            </w:r>
            <w:r w:rsidRPr="00CC64EB">
              <w:rPr>
                <w:rFonts w:ascii="Arial" w:hAnsi="Arial"/>
                <w:bCs/>
                <w:sz w:val="20"/>
                <w:szCs w:val="20"/>
              </w:rPr>
              <w:t>, engineering, sustainability and academic leadership experience spanning higher education, state-owned enterprises, manufacturing, logistics and consulting.</w:t>
            </w:r>
          </w:p>
          <w:p w14:paraId="7DBD6BBB" w14:textId="77777777" w:rsidR="00CC64EB" w:rsidRDefault="00CC64EB" w:rsidP="00CC64EB">
            <w:pPr>
              <w:spacing w:before="120" w:after="120" w:line="240" w:lineRule="atLeast"/>
              <w:jc w:val="both"/>
              <w:rPr>
                <w:rFonts w:ascii="Arial" w:hAnsi="Arial"/>
                <w:bCs/>
                <w:sz w:val="20"/>
                <w:szCs w:val="20"/>
              </w:rPr>
            </w:pPr>
          </w:p>
          <w:p w14:paraId="77A0955B" w14:textId="77777777" w:rsidR="00CC64EB" w:rsidRDefault="00CC64EB" w:rsidP="00CC64EB">
            <w:pPr>
              <w:spacing w:before="120" w:after="120" w:line="240" w:lineRule="atLeast"/>
              <w:jc w:val="both"/>
              <w:rPr>
                <w:rFonts w:ascii="Arial" w:hAnsi="Arial"/>
                <w:bCs/>
                <w:sz w:val="20"/>
                <w:szCs w:val="20"/>
              </w:rPr>
            </w:pPr>
          </w:p>
          <w:p w14:paraId="498A6976" w14:textId="49BC0FCF" w:rsidR="00CC64EB" w:rsidRDefault="00CC64EB" w:rsidP="00CC64EB">
            <w:pPr>
              <w:spacing w:before="120" w:after="120" w:line="240" w:lineRule="atLeast"/>
              <w:jc w:val="both"/>
              <w:rPr>
                <w:rFonts w:ascii="Arial" w:hAnsi="Arial"/>
                <w:bCs/>
                <w:sz w:val="20"/>
                <w:szCs w:val="20"/>
              </w:rPr>
            </w:pPr>
            <w:r w:rsidRPr="00CC64EB">
              <w:rPr>
                <w:rFonts w:ascii="Arial" w:hAnsi="Arial"/>
                <w:bCs/>
                <w:sz w:val="20"/>
                <w:szCs w:val="20"/>
              </w:rPr>
              <w:t>His research focuses on understanding organisations as complex adaptive systems and developing strategic interventions that improve organisational performance, sustainability and societal impact. He has supervised numerous Master's and Doctoral candidates across Business Leadership, Engineering Management, Industrial Engineering</w:t>
            </w:r>
            <w:r w:rsidR="007456D8">
              <w:rPr>
                <w:rFonts w:ascii="Arial" w:hAnsi="Arial"/>
                <w:bCs/>
                <w:sz w:val="20"/>
                <w:szCs w:val="20"/>
              </w:rPr>
              <w:t>, and Digital Transformation, and has successfully supervised</w:t>
            </w:r>
            <w:r w:rsidRPr="00CC64EB">
              <w:rPr>
                <w:rFonts w:ascii="Arial" w:hAnsi="Arial"/>
                <w:bCs/>
                <w:sz w:val="20"/>
                <w:szCs w:val="20"/>
              </w:rPr>
              <w:t xml:space="preserve"> doctoral and master's students in multiple disciplines. He has published extensively in accredited international journals and conference proceedings in digital transformation, systems dynamics, sustainability, artificial intelligence, engineering management and organisational performance.</w:t>
            </w:r>
          </w:p>
          <w:p w14:paraId="559682E0" w14:textId="77777777" w:rsidR="00B412E7" w:rsidRDefault="00B412E7" w:rsidP="004D6C6A">
            <w:pPr>
              <w:spacing w:before="120" w:after="120" w:line="240" w:lineRule="atLeast"/>
              <w:jc w:val="both"/>
              <w:rPr>
                <w:rFonts w:ascii="Arial" w:hAnsi="Arial"/>
                <w:bCs/>
                <w:sz w:val="20"/>
                <w:szCs w:val="20"/>
              </w:rPr>
            </w:pPr>
            <w:r w:rsidRPr="00B412E7">
              <w:rPr>
                <w:rFonts w:ascii="Arial" w:hAnsi="Arial"/>
                <w:bCs/>
                <w:sz w:val="20"/>
                <w:szCs w:val="20"/>
              </w:rPr>
              <w:t xml:space="preserve">Prof. Mokgohloa welcomes Master's and Doctoral candidates whose research seeks to address complex organisational and societal challenges through interdisciplinary, systems-oriented scholarship. His research supervision spans </w:t>
            </w:r>
            <w:r>
              <w:rPr>
                <w:rFonts w:ascii="Arial" w:hAnsi="Arial"/>
                <w:bCs/>
                <w:sz w:val="20"/>
                <w:szCs w:val="20"/>
              </w:rPr>
              <w:t>strategic</w:t>
            </w:r>
            <w:r w:rsidRPr="00B412E7">
              <w:rPr>
                <w:rFonts w:ascii="Arial" w:hAnsi="Arial"/>
                <w:bCs/>
                <w:sz w:val="20"/>
                <w:szCs w:val="20"/>
              </w:rPr>
              <w:t xml:space="preserve"> leadership, digital transformation strategy, systems thinking, system dynamics, and complex adaptive systems, with a particular emphasis on enabling organisations to navigate complexity, uncertainty, and technological disruption. He also supervises research in strategic management, business model innovation, </w:t>
            </w:r>
            <w:r>
              <w:rPr>
                <w:rFonts w:ascii="Arial" w:hAnsi="Arial"/>
                <w:bCs/>
                <w:sz w:val="20"/>
                <w:szCs w:val="20"/>
              </w:rPr>
              <w:t>energy dynamics</w:t>
            </w:r>
            <w:r w:rsidRPr="00B412E7">
              <w:rPr>
                <w:rFonts w:ascii="Arial" w:hAnsi="Arial"/>
                <w:bCs/>
                <w:sz w:val="20"/>
                <w:szCs w:val="20"/>
              </w:rPr>
              <w:t>, sustainability and ESG, circular economy, Industry 4.0 and Industry 5.0, digital government, public sector innovation, engineering management, knowledge management,</w:t>
            </w:r>
            <w:r>
              <w:rPr>
                <w:rFonts w:ascii="Arial" w:hAnsi="Arial"/>
                <w:bCs/>
                <w:sz w:val="20"/>
                <w:szCs w:val="20"/>
              </w:rPr>
              <w:t xml:space="preserve"> operations management</w:t>
            </w:r>
            <w:r w:rsidRPr="00B412E7">
              <w:rPr>
                <w:rFonts w:ascii="Arial" w:hAnsi="Arial"/>
                <w:bCs/>
                <w:sz w:val="20"/>
                <w:szCs w:val="20"/>
              </w:rPr>
              <w:t>,</w:t>
            </w:r>
            <w:r>
              <w:rPr>
                <w:rFonts w:ascii="Arial" w:hAnsi="Arial"/>
                <w:bCs/>
                <w:sz w:val="20"/>
                <w:szCs w:val="20"/>
              </w:rPr>
              <w:t xml:space="preserve"> socio-technical systems,</w:t>
            </w:r>
            <w:r w:rsidRPr="00B412E7">
              <w:rPr>
                <w:rFonts w:ascii="Arial" w:hAnsi="Arial"/>
                <w:bCs/>
                <w:sz w:val="20"/>
                <w:szCs w:val="20"/>
              </w:rPr>
              <w:t xml:space="preserve"> organisational learning, strategy execution, innovation management, decision sciences, value engineering, process improvement, business process management, organisational resilience, the future of work,</w:t>
            </w:r>
            <w:r>
              <w:rPr>
                <w:rFonts w:ascii="Arial" w:hAnsi="Arial"/>
                <w:bCs/>
                <w:sz w:val="20"/>
                <w:szCs w:val="20"/>
              </w:rPr>
              <w:t xml:space="preserve"> supply chain optimisation</w:t>
            </w:r>
            <w:r w:rsidRPr="00B412E7">
              <w:rPr>
                <w:rFonts w:ascii="Arial" w:hAnsi="Arial"/>
                <w:bCs/>
                <w:sz w:val="20"/>
                <w:szCs w:val="20"/>
              </w:rPr>
              <w:t xml:space="preserve">. His supervisory approach encourages theoretically rigorous, </w:t>
            </w:r>
            <w:r w:rsidRPr="00B412E7">
              <w:rPr>
                <w:rFonts w:ascii="Arial" w:hAnsi="Arial"/>
                <w:bCs/>
                <w:sz w:val="20"/>
                <w:szCs w:val="20"/>
              </w:rPr>
              <w:lastRenderedPageBreak/>
              <w:t>methodologically sound, and practice-oriented research that generates innovative solutions with measurable organisational, societal, and policy impact.</w:t>
            </w:r>
          </w:p>
          <w:p w14:paraId="3D5F1E07" w14:textId="0A74AF74" w:rsidR="00214825" w:rsidRPr="00CC64EB" w:rsidRDefault="00214825" w:rsidP="004D6C6A">
            <w:pPr>
              <w:spacing w:before="120" w:after="120" w:line="240" w:lineRule="atLeast"/>
              <w:jc w:val="both"/>
              <w:rPr>
                <w:rFonts w:ascii="Arial" w:hAnsi="Arial"/>
                <w:bCs/>
                <w:sz w:val="20"/>
                <w:szCs w:val="20"/>
              </w:rPr>
            </w:pPr>
          </w:p>
        </w:tc>
        <w:tc>
          <w:tcPr>
            <w:tcW w:w="600" w:type="pct"/>
            <w:shd w:val="clear" w:color="auto" w:fill="auto"/>
          </w:tcPr>
          <w:p w14:paraId="05229A76" w14:textId="77777777" w:rsidR="006D7067" w:rsidRDefault="00CC64EB" w:rsidP="004D6C6A">
            <w:pPr>
              <w:spacing w:before="120" w:after="120" w:line="240" w:lineRule="atLeast"/>
              <w:rPr>
                <w:rFonts w:ascii="Arial" w:hAnsi="Arial"/>
                <w:bCs/>
                <w:sz w:val="20"/>
                <w:szCs w:val="20"/>
                <w:lang w:val="en-GB"/>
              </w:rPr>
            </w:pPr>
            <w:r>
              <w:rPr>
                <w:rFonts w:ascii="Arial" w:hAnsi="Arial"/>
                <w:bCs/>
                <w:sz w:val="20"/>
                <w:szCs w:val="20"/>
                <w:lang w:val="en-GB"/>
              </w:rPr>
              <w:lastRenderedPageBreak/>
              <w:t>8</w:t>
            </w:r>
            <w:r w:rsidR="006D7067" w:rsidRPr="004D6C6A">
              <w:rPr>
                <w:rFonts w:ascii="Arial" w:hAnsi="Arial"/>
                <w:bCs/>
                <w:sz w:val="20"/>
                <w:szCs w:val="20"/>
                <w:lang w:val="en-GB"/>
              </w:rPr>
              <w:t xml:space="preserve"> DBL</w:t>
            </w:r>
          </w:p>
          <w:p w14:paraId="4B9549DA" w14:textId="77777777" w:rsidR="00BC3BEE" w:rsidRDefault="00BC3BEE" w:rsidP="004D6C6A">
            <w:pPr>
              <w:spacing w:before="120" w:after="120" w:line="240" w:lineRule="atLeast"/>
              <w:rPr>
                <w:rFonts w:ascii="Arial" w:hAnsi="Arial"/>
                <w:bCs/>
                <w:sz w:val="20"/>
                <w:szCs w:val="20"/>
                <w:lang w:val="en-GB"/>
              </w:rPr>
            </w:pPr>
            <w:r>
              <w:rPr>
                <w:rFonts w:ascii="Arial" w:hAnsi="Arial"/>
                <w:bCs/>
                <w:sz w:val="20"/>
                <w:szCs w:val="20"/>
                <w:lang w:val="en-GB"/>
              </w:rPr>
              <w:t>5 MBA</w:t>
            </w:r>
          </w:p>
          <w:p w14:paraId="49D8C082" w14:textId="7EC95FDB" w:rsidR="00BC3BEE" w:rsidRPr="004D6C6A" w:rsidRDefault="00BC3BEE" w:rsidP="004D6C6A">
            <w:pPr>
              <w:spacing w:before="120" w:after="120" w:line="240" w:lineRule="atLeast"/>
              <w:rPr>
                <w:rFonts w:ascii="Arial" w:hAnsi="Arial"/>
                <w:bCs/>
                <w:sz w:val="20"/>
                <w:szCs w:val="20"/>
                <w:lang w:val="en-GB"/>
              </w:rPr>
            </w:pPr>
            <w:r>
              <w:rPr>
                <w:rFonts w:ascii="Arial" w:hAnsi="Arial"/>
                <w:bCs/>
                <w:sz w:val="20"/>
                <w:szCs w:val="20"/>
                <w:lang w:val="en-GB"/>
              </w:rPr>
              <w:t>1 MBL</w:t>
            </w:r>
          </w:p>
        </w:tc>
      </w:tr>
      <w:tr w:rsidR="006D7067" w:rsidRPr="004D6C6A" w14:paraId="75A334B9" w14:textId="77777777" w:rsidTr="00E4144A">
        <w:trPr>
          <w:trHeight w:val="276"/>
        </w:trPr>
        <w:tc>
          <w:tcPr>
            <w:tcW w:w="5000" w:type="pct"/>
            <w:gridSpan w:val="4"/>
            <w:shd w:val="clear" w:color="auto" w:fill="FABF8F" w:themeFill="accent6" w:themeFillTint="99"/>
            <w:vAlign w:val="center"/>
          </w:tcPr>
          <w:p w14:paraId="542A4B9A" w14:textId="7327496E" w:rsidR="006D7067" w:rsidRPr="004D6C6A" w:rsidRDefault="006D7067" w:rsidP="004D6C6A">
            <w:pPr>
              <w:pStyle w:val="ListParagraph"/>
              <w:spacing w:before="120" w:after="120" w:line="240" w:lineRule="atLeast"/>
              <w:ind w:left="0"/>
              <w:jc w:val="center"/>
              <w:rPr>
                <w:rFonts w:ascii="Arial" w:hAnsi="Arial"/>
                <w:sz w:val="20"/>
                <w:szCs w:val="20"/>
                <w:lang w:val="en-GB"/>
              </w:rPr>
            </w:pPr>
            <w:r w:rsidRPr="004D6C6A">
              <w:rPr>
                <w:rFonts w:ascii="Arial" w:hAnsi="Arial"/>
                <w:b/>
                <w:bCs/>
                <w:sz w:val="20"/>
                <w:szCs w:val="20"/>
                <w:lang w:val="en-GB"/>
              </w:rPr>
              <w:lastRenderedPageBreak/>
              <w:t>Reading: Subject Field</w:t>
            </w:r>
          </w:p>
        </w:tc>
      </w:tr>
      <w:tr w:rsidR="006D7067" w:rsidRPr="004D6C6A" w14:paraId="05227ABF" w14:textId="77777777" w:rsidTr="006913F3">
        <w:trPr>
          <w:trHeight w:val="276"/>
        </w:trPr>
        <w:tc>
          <w:tcPr>
            <w:tcW w:w="5000" w:type="pct"/>
            <w:gridSpan w:val="4"/>
            <w:tcBorders>
              <w:bottom w:val="single" w:sz="4" w:space="0" w:color="auto"/>
            </w:tcBorders>
            <w:shd w:val="clear" w:color="auto" w:fill="auto"/>
            <w:vAlign w:val="center"/>
          </w:tcPr>
          <w:p w14:paraId="76DC1C8C" w14:textId="0F2656B3" w:rsidR="006D7067" w:rsidRDefault="00214825" w:rsidP="00214825">
            <w:pPr>
              <w:shd w:val="clear" w:color="auto" w:fill="FFFFFF"/>
              <w:spacing w:before="120" w:after="120" w:line="240" w:lineRule="atLeast"/>
              <w:contextualSpacing/>
              <w:jc w:val="both"/>
              <w:rPr>
                <w:rFonts w:ascii="Arial" w:hAnsi="Arial"/>
                <w:sz w:val="20"/>
                <w:szCs w:val="20"/>
                <w:lang w:val="en-GB" w:eastAsia="en-ZA"/>
              </w:rPr>
            </w:pPr>
            <w:r>
              <w:rPr>
                <w:rFonts w:ascii="Arial" w:hAnsi="Arial"/>
                <w:sz w:val="20"/>
                <w:szCs w:val="20"/>
                <w:lang w:val="en-GB" w:eastAsia="en-ZA"/>
              </w:rPr>
              <w:t xml:space="preserve">Senge, 1990: The Fifth Discipline </w:t>
            </w:r>
          </w:p>
          <w:p w14:paraId="17504A65" w14:textId="77777777" w:rsidR="00214825" w:rsidRDefault="00214825" w:rsidP="00214825">
            <w:pPr>
              <w:shd w:val="clear" w:color="auto" w:fill="FFFFFF"/>
              <w:spacing w:before="120" w:after="120" w:line="240" w:lineRule="atLeast"/>
              <w:contextualSpacing/>
              <w:jc w:val="both"/>
              <w:rPr>
                <w:rFonts w:ascii="Arial" w:hAnsi="Arial"/>
                <w:sz w:val="20"/>
                <w:szCs w:val="20"/>
                <w:lang w:val="en-GB" w:eastAsia="en-ZA"/>
              </w:rPr>
            </w:pPr>
            <w:r>
              <w:rPr>
                <w:rFonts w:ascii="Arial" w:hAnsi="Arial"/>
                <w:sz w:val="20"/>
                <w:szCs w:val="20"/>
                <w:lang w:val="en-GB" w:eastAsia="en-ZA"/>
              </w:rPr>
              <w:t>Sterman, 2000: Business Dynamics</w:t>
            </w:r>
          </w:p>
          <w:p w14:paraId="13424981" w14:textId="57805B9A" w:rsidR="00214825" w:rsidRDefault="00214825" w:rsidP="00214825">
            <w:pPr>
              <w:shd w:val="clear" w:color="auto" w:fill="FFFFFF"/>
              <w:spacing w:before="120" w:after="120" w:line="240" w:lineRule="atLeast"/>
              <w:contextualSpacing/>
              <w:jc w:val="both"/>
              <w:rPr>
                <w:rFonts w:ascii="Arial" w:hAnsi="Arial"/>
                <w:sz w:val="20"/>
                <w:szCs w:val="20"/>
                <w:lang w:eastAsia="en-ZA"/>
              </w:rPr>
            </w:pPr>
            <w:r>
              <w:rPr>
                <w:rFonts w:ascii="Arial" w:hAnsi="Arial"/>
                <w:sz w:val="20"/>
                <w:szCs w:val="20"/>
                <w:lang w:eastAsia="en-ZA"/>
              </w:rPr>
              <w:t>Meadows, 2012: Thinking in Systems</w:t>
            </w:r>
          </w:p>
          <w:p w14:paraId="38331C55" w14:textId="1A59D837" w:rsidR="00A631A7" w:rsidRDefault="00A631A7" w:rsidP="00214825">
            <w:pPr>
              <w:shd w:val="clear" w:color="auto" w:fill="FFFFFF"/>
              <w:spacing w:before="120" w:after="120" w:line="240" w:lineRule="atLeast"/>
              <w:contextualSpacing/>
              <w:jc w:val="both"/>
              <w:rPr>
                <w:rFonts w:ascii="Arial" w:hAnsi="Arial"/>
                <w:sz w:val="20"/>
                <w:szCs w:val="20"/>
                <w:lang w:eastAsia="en-ZA"/>
              </w:rPr>
            </w:pPr>
            <w:r>
              <w:rPr>
                <w:rFonts w:ascii="Arial" w:hAnsi="Arial"/>
                <w:sz w:val="20"/>
                <w:szCs w:val="20"/>
                <w:lang w:eastAsia="en-ZA"/>
              </w:rPr>
              <w:t>Liu, 2016: Systems Engineering</w:t>
            </w:r>
          </w:p>
          <w:p w14:paraId="3ED80D42" w14:textId="54811702" w:rsidR="00A631A7" w:rsidRDefault="00A631A7" w:rsidP="00214825">
            <w:pPr>
              <w:shd w:val="clear" w:color="auto" w:fill="FFFFFF"/>
              <w:spacing w:before="120" w:after="120" w:line="240" w:lineRule="atLeast"/>
              <w:contextualSpacing/>
              <w:jc w:val="both"/>
              <w:rPr>
                <w:rFonts w:ascii="Arial" w:hAnsi="Arial"/>
                <w:sz w:val="20"/>
                <w:szCs w:val="20"/>
                <w:lang w:eastAsia="en-ZA"/>
              </w:rPr>
            </w:pPr>
            <w:r>
              <w:rPr>
                <w:rFonts w:ascii="Arial" w:hAnsi="Arial"/>
                <w:sz w:val="20"/>
                <w:szCs w:val="20"/>
                <w:lang w:eastAsia="en-ZA"/>
              </w:rPr>
              <w:t>Warren, 2008: Strategic Management Dynamics</w:t>
            </w:r>
          </w:p>
          <w:p w14:paraId="69B8F872" w14:textId="77777777" w:rsidR="00A631A7" w:rsidRDefault="00A631A7" w:rsidP="00214825">
            <w:pPr>
              <w:shd w:val="clear" w:color="auto" w:fill="FFFFFF"/>
              <w:spacing w:before="120" w:after="120" w:line="240" w:lineRule="atLeast"/>
              <w:contextualSpacing/>
              <w:jc w:val="both"/>
              <w:rPr>
                <w:rFonts w:ascii="Arial" w:hAnsi="Arial"/>
                <w:sz w:val="20"/>
                <w:szCs w:val="20"/>
                <w:lang w:eastAsia="en-ZA"/>
              </w:rPr>
            </w:pPr>
            <w:r>
              <w:rPr>
                <w:rFonts w:ascii="Arial" w:hAnsi="Arial"/>
                <w:sz w:val="20"/>
                <w:szCs w:val="20"/>
                <w:lang w:eastAsia="en-ZA"/>
              </w:rPr>
              <w:t xml:space="preserve">Lafley &amp; Martin, 2013: Playing to Win: How Strategy Really Works </w:t>
            </w:r>
          </w:p>
          <w:p w14:paraId="334804D3" w14:textId="2C95E1F0" w:rsidR="00A631A7" w:rsidRDefault="00A631A7" w:rsidP="00214825">
            <w:pPr>
              <w:shd w:val="clear" w:color="auto" w:fill="FFFFFF"/>
              <w:spacing w:before="120" w:after="120" w:line="240" w:lineRule="atLeast"/>
              <w:contextualSpacing/>
              <w:jc w:val="both"/>
              <w:rPr>
                <w:rFonts w:ascii="Arial" w:hAnsi="Arial"/>
                <w:sz w:val="20"/>
                <w:szCs w:val="20"/>
                <w:lang w:eastAsia="en-ZA"/>
              </w:rPr>
            </w:pPr>
            <w:proofErr w:type="spellStart"/>
            <w:r>
              <w:rPr>
                <w:rFonts w:ascii="Arial" w:hAnsi="Arial"/>
                <w:sz w:val="20"/>
                <w:szCs w:val="20"/>
                <w:lang w:eastAsia="en-ZA"/>
              </w:rPr>
              <w:t>Kossiakoff</w:t>
            </w:r>
            <w:proofErr w:type="spellEnd"/>
            <w:r>
              <w:rPr>
                <w:rFonts w:ascii="Arial" w:hAnsi="Arial"/>
                <w:sz w:val="20"/>
                <w:szCs w:val="20"/>
                <w:lang w:eastAsia="en-ZA"/>
              </w:rPr>
              <w:t xml:space="preserve"> et </w:t>
            </w:r>
            <w:r w:rsidR="00BC3BEE">
              <w:rPr>
                <w:rFonts w:ascii="Arial" w:hAnsi="Arial"/>
                <w:sz w:val="20"/>
                <w:szCs w:val="20"/>
                <w:lang w:eastAsia="en-ZA"/>
              </w:rPr>
              <w:t>al, 2011</w:t>
            </w:r>
            <w:r>
              <w:rPr>
                <w:rFonts w:ascii="Arial" w:hAnsi="Arial"/>
                <w:sz w:val="20"/>
                <w:szCs w:val="20"/>
                <w:lang w:eastAsia="en-ZA"/>
              </w:rPr>
              <w:t>: Systems Engineering Principles and Practice</w:t>
            </w:r>
          </w:p>
          <w:p w14:paraId="2D210413" w14:textId="11BE0028" w:rsidR="00BC3BEE" w:rsidRPr="00214825" w:rsidRDefault="00BC3BEE" w:rsidP="00214825">
            <w:pPr>
              <w:shd w:val="clear" w:color="auto" w:fill="FFFFFF"/>
              <w:spacing w:before="120" w:after="120" w:line="240" w:lineRule="atLeast"/>
              <w:contextualSpacing/>
              <w:jc w:val="both"/>
              <w:rPr>
                <w:rFonts w:ascii="Arial" w:hAnsi="Arial"/>
                <w:sz w:val="20"/>
                <w:szCs w:val="20"/>
                <w:lang w:eastAsia="en-ZA"/>
              </w:rPr>
            </w:pPr>
            <w:r>
              <w:rPr>
                <w:rFonts w:ascii="Arial" w:hAnsi="Arial"/>
                <w:sz w:val="20"/>
                <w:szCs w:val="20"/>
                <w:lang w:eastAsia="en-ZA"/>
              </w:rPr>
              <w:t>Sun Tzu: The Art of War</w:t>
            </w:r>
          </w:p>
          <w:p w14:paraId="242A4840" w14:textId="6B0C254C" w:rsidR="00214825" w:rsidRPr="004D6C6A" w:rsidRDefault="00214825" w:rsidP="00214825">
            <w:pPr>
              <w:shd w:val="clear" w:color="auto" w:fill="FFFFFF"/>
              <w:spacing w:before="120" w:after="120" w:line="240" w:lineRule="atLeast"/>
              <w:contextualSpacing/>
              <w:jc w:val="both"/>
              <w:rPr>
                <w:rFonts w:ascii="Arial" w:hAnsi="Arial"/>
                <w:sz w:val="20"/>
                <w:szCs w:val="20"/>
                <w:lang w:val="en-GB" w:eastAsia="en-ZA"/>
              </w:rPr>
            </w:pPr>
            <w:r>
              <w:rPr>
                <w:rFonts w:ascii="Arial" w:hAnsi="Arial"/>
                <w:sz w:val="20"/>
                <w:szCs w:val="20"/>
                <w:lang w:eastAsia="en-ZA"/>
              </w:rPr>
              <w:t xml:space="preserve">Peters and </w:t>
            </w:r>
            <w:r w:rsidRPr="00214825">
              <w:rPr>
                <w:rFonts w:ascii="Arial" w:hAnsi="Arial"/>
                <w:sz w:val="20"/>
                <w:szCs w:val="20"/>
                <w:lang w:eastAsia="en-ZA"/>
              </w:rPr>
              <w:t>Lindeque</w:t>
            </w:r>
            <w:r>
              <w:rPr>
                <w:rFonts w:ascii="Arial" w:hAnsi="Arial"/>
                <w:sz w:val="20"/>
                <w:szCs w:val="20"/>
                <w:lang w:eastAsia="en-ZA"/>
              </w:rPr>
              <w:t xml:space="preserve">, 2026: </w:t>
            </w:r>
            <w:r w:rsidRPr="00214825">
              <w:rPr>
                <w:rFonts w:ascii="Arial" w:hAnsi="Arial"/>
                <w:sz w:val="20"/>
                <w:szCs w:val="20"/>
                <w:lang w:eastAsia="en-ZA"/>
              </w:rPr>
              <w:t xml:space="preserve"> </w:t>
            </w:r>
            <w:r>
              <w:rPr>
                <w:rFonts w:ascii="Arial" w:hAnsi="Arial"/>
                <w:sz w:val="20"/>
                <w:szCs w:val="20"/>
                <w:lang w:eastAsia="en-ZA"/>
              </w:rPr>
              <w:t>Strategic Digital Transformation</w:t>
            </w:r>
          </w:p>
        </w:tc>
      </w:tr>
      <w:tr w:rsidR="006D7067" w:rsidRPr="004D6C6A" w14:paraId="1EC83537" w14:textId="77777777" w:rsidTr="00242DC5">
        <w:trPr>
          <w:trHeight w:val="276"/>
        </w:trPr>
        <w:tc>
          <w:tcPr>
            <w:tcW w:w="5000" w:type="pct"/>
            <w:gridSpan w:val="4"/>
            <w:shd w:val="clear" w:color="auto" w:fill="FABF8F" w:themeFill="accent6" w:themeFillTint="99"/>
            <w:vAlign w:val="center"/>
          </w:tcPr>
          <w:p w14:paraId="16CBAD68" w14:textId="77777777" w:rsidR="006D7067" w:rsidRPr="004D6C6A" w:rsidRDefault="006D7067" w:rsidP="004D6C6A">
            <w:pPr>
              <w:spacing w:before="120" w:after="120" w:line="240" w:lineRule="atLeast"/>
              <w:jc w:val="center"/>
              <w:rPr>
                <w:rFonts w:ascii="Arial" w:hAnsi="Arial"/>
                <w:sz w:val="20"/>
                <w:szCs w:val="20"/>
                <w:lang w:val="en-GB"/>
              </w:rPr>
            </w:pPr>
            <w:r w:rsidRPr="004D6C6A">
              <w:rPr>
                <w:rFonts w:ascii="Arial" w:hAnsi="Arial"/>
                <w:b/>
                <w:bCs/>
                <w:sz w:val="20"/>
                <w:szCs w:val="20"/>
                <w:lang w:val="en-GB"/>
              </w:rPr>
              <w:t>Reading: Research Methodology</w:t>
            </w:r>
          </w:p>
        </w:tc>
      </w:tr>
      <w:tr w:rsidR="006D7067" w:rsidRPr="004D6C6A" w14:paraId="1716D309" w14:textId="77777777" w:rsidTr="00242DC5">
        <w:trPr>
          <w:trHeight w:val="276"/>
        </w:trPr>
        <w:tc>
          <w:tcPr>
            <w:tcW w:w="5000" w:type="pct"/>
            <w:gridSpan w:val="4"/>
            <w:shd w:val="clear" w:color="auto" w:fill="auto"/>
            <w:vAlign w:val="center"/>
          </w:tcPr>
          <w:p w14:paraId="01AE4EEF" w14:textId="43E7BB31" w:rsidR="006D7067" w:rsidRPr="004D6C6A" w:rsidRDefault="00214825" w:rsidP="004D6C6A">
            <w:pPr>
              <w:pStyle w:val="ListParagraph"/>
              <w:spacing w:before="120" w:after="120" w:line="240" w:lineRule="atLeast"/>
              <w:ind w:left="0"/>
              <w:jc w:val="both"/>
              <w:rPr>
                <w:rFonts w:ascii="Arial" w:hAnsi="Arial"/>
                <w:sz w:val="20"/>
                <w:szCs w:val="20"/>
                <w:lang w:val="en-GB"/>
              </w:rPr>
            </w:pPr>
            <w:r>
              <w:rPr>
                <w:rFonts w:ascii="Arial" w:hAnsi="Arial"/>
                <w:sz w:val="20"/>
                <w:szCs w:val="20"/>
                <w:lang w:val="en-GB"/>
              </w:rPr>
              <w:t>Saunders et al</w:t>
            </w:r>
            <w:r w:rsidR="006D7067" w:rsidRPr="004D6C6A">
              <w:rPr>
                <w:rFonts w:ascii="Arial" w:hAnsi="Arial"/>
                <w:sz w:val="20"/>
                <w:szCs w:val="20"/>
                <w:lang w:val="en-GB"/>
              </w:rPr>
              <w:t xml:space="preserve">, </w:t>
            </w:r>
            <w:r>
              <w:rPr>
                <w:rFonts w:ascii="Arial" w:hAnsi="Arial"/>
                <w:sz w:val="20"/>
                <w:szCs w:val="20"/>
                <w:lang w:val="en-GB"/>
              </w:rPr>
              <w:t>2019</w:t>
            </w:r>
            <w:r w:rsidR="006D7067" w:rsidRPr="004D6C6A">
              <w:rPr>
                <w:rFonts w:ascii="Arial" w:hAnsi="Arial"/>
                <w:i/>
                <w:sz w:val="20"/>
                <w:szCs w:val="20"/>
                <w:lang w:val="en-GB"/>
              </w:rPr>
              <w:t xml:space="preserve">: </w:t>
            </w:r>
            <w:r>
              <w:rPr>
                <w:rFonts w:ascii="Arial" w:hAnsi="Arial"/>
                <w:i/>
                <w:sz w:val="20"/>
                <w:szCs w:val="20"/>
                <w:lang w:val="en-GB"/>
              </w:rPr>
              <w:t>Research Methods for Business Students</w:t>
            </w:r>
            <w:r w:rsidR="006D7067" w:rsidRPr="004D6C6A">
              <w:rPr>
                <w:rFonts w:ascii="Arial" w:hAnsi="Arial"/>
                <w:i/>
                <w:sz w:val="20"/>
                <w:szCs w:val="20"/>
                <w:lang w:val="en-GB"/>
              </w:rPr>
              <w:t>,</w:t>
            </w:r>
            <w:r w:rsidR="006D7067" w:rsidRPr="004D6C6A">
              <w:rPr>
                <w:rFonts w:ascii="Arial" w:hAnsi="Arial"/>
                <w:sz w:val="20"/>
                <w:szCs w:val="20"/>
                <w:lang w:val="en-GB"/>
              </w:rPr>
              <w:t xml:space="preserve"> </w:t>
            </w:r>
            <w:r>
              <w:rPr>
                <w:rFonts w:ascii="Arial" w:hAnsi="Arial"/>
                <w:sz w:val="20"/>
                <w:szCs w:val="20"/>
                <w:lang w:val="en-GB"/>
              </w:rPr>
              <w:t>Essex</w:t>
            </w:r>
            <w:r w:rsidR="006D7067" w:rsidRPr="004D6C6A">
              <w:rPr>
                <w:rFonts w:ascii="Arial" w:hAnsi="Arial"/>
                <w:sz w:val="20"/>
                <w:szCs w:val="20"/>
                <w:lang w:val="en-GB"/>
              </w:rPr>
              <w:t xml:space="preserve">: </w:t>
            </w:r>
            <w:r>
              <w:rPr>
                <w:rFonts w:ascii="Arial" w:hAnsi="Arial"/>
                <w:sz w:val="20"/>
                <w:szCs w:val="20"/>
                <w:lang w:val="en-GB"/>
              </w:rPr>
              <w:t>Pearson</w:t>
            </w:r>
          </w:p>
        </w:tc>
      </w:tr>
    </w:tbl>
    <w:p w14:paraId="61AABA31" w14:textId="77777777" w:rsidR="00DF7A11" w:rsidRPr="00C8393A" w:rsidRDefault="00DF7A11">
      <w:pPr>
        <w:rPr>
          <w:lang w:val="en-GB"/>
        </w:rPr>
      </w:pPr>
    </w:p>
    <w:sectPr w:rsidR="00DF7A11" w:rsidRPr="00C8393A" w:rsidSect="00242DC5">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54A5" w14:textId="77777777" w:rsidR="00A77557" w:rsidRDefault="00A77557" w:rsidP="00242DC5">
      <w:pPr>
        <w:spacing w:after="0" w:line="240" w:lineRule="auto"/>
      </w:pPr>
      <w:r>
        <w:separator/>
      </w:r>
    </w:p>
  </w:endnote>
  <w:endnote w:type="continuationSeparator" w:id="0">
    <w:p w14:paraId="1794F286" w14:textId="77777777" w:rsidR="00A77557" w:rsidRDefault="00A77557"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7BEFB" w14:textId="77777777" w:rsidR="00A77557" w:rsidRDefault="00A77557" w:rsidP="00242DC5">
      <w:pPr>
        <w:spacing w:after="0" w:line="240" w:lineRule="auto"/>
      </w:pPr>
      <w:r>
        <w:separator/>
      </w:r>
    </w:p>
  </w:footnote>
  <w:footnote w:type="continuationSeparator" w:id="0">
    <w:p w14:paraId="0F7A5198" w14:textId="77777777" w:rsidR="00A77557" w:rsidRDefault="00A77557"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825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28CA7D51"/>
    <w:multiLevelType w:val="hybridMultilevel"/>
    <w:tmpl w:val="8E4EF1C0"/>
    <w:lvl w:ilvl="0" w:tplc="0504D172">
      <w:start w:val="1"/>
      <w:numFmt w:val="lowerRoman"/>
      <w:lvlText w:val="(%1)"/>
      <w:lvlJc w:val="left"/>
      <w:pPr>
        <w:ind w:left="669" w:hanging="720"/>
      </w:pPr>
      <w:rPr>
        <w:rFonts w:hint="default"/>
      </w:rPr>
    </w:lvl>
    <w:lvl w:ilvl="1" w:tplc="04090019" w:tentative="1">
      <w:start w:val="1"/>
      <w:numFmt w:val="lowerLetter"/>
      <w:lvlText w:val="%2."/>
      <w:lvlJc w:val="left"/>
      <w:pPr>
        <w:ind w:left="1029" w:hanging="360"/>
      </w:pPr>
    </w:lvl>
    <w:lvl w:ilvl="2" w:tplc="0409001B" w:tentative="1">
      <w:start w:val="1"/>
      <w:numFmt w:val="lowerRoman"/>
      <w:lvlText w:val="%3."/>
      <w:lvlJc w:val="right"/>
      <w:pPr>
        <w:ind w:left="1749" w:hanging="180"/>
      </w:pPr>
    </w:lvl>
    <w:lvl w:ilvl="3" w:tplc="0409000F" w:tentative="1">
      <w:start w:val="1"/>
      <w:numFmt w:val="decimal"/>
      <w:lvlText w:val="%4."/>
      <w:lvlJc w:val="left"/>
      <w:pPr>
        <w:ind w:left="2469" w:hanging="360"/>
      </w:pPr>
    </w:lvl>
    <w:lvl w:ilvl="4" w:tplc="04090019" w:tentative="1">
      <w:start w:val="1"/>
      <w:numFmt w:val="lowerLetter"/>
      <w:lvlText w:val="%5."/>
      <w:lvlJc w:val="left"/>
      <w:pPr>
        <w:ind w:left="3189" w:hanging="360"/>
      </w:pPr>
    </w:lvl>
    <w:lvl w:ilvl="5" w:tplc="0409001B" w:tentative="1">
      <w:start w:val="1"/>
      <w:numFmt w:val="lowerRoman"/>
      <w:lvlText w:val="%6."/>
      <w:lvlJc w:val="right"/>
      <w:pPr>
        <w:ind w:left="3909" w:hanging="180"/>
      </w:pPr>
    </w:lvl>
    <w:lvl w:ilvl="6" w:tplc="0409000F" w:tentative="1">
      <w:start w:val="1"/>
      <w:numFmt w:val="decimal"/>
      <w:lvlText w:val="%7."/>
      <w:lvlJc w:val="left"/>
      <w:pPr>
        <w:ind w:left="4629" w:hanging="360"/>
      </w:pPr>
    </w:lvl>
    <w:lvl w:ilvl="7" w:tplc="04090019" w:tentative="1">
      <w:start w:val="1"/>
      <w:numFmt w:val="lowerLetter"/>
      <w:lvlText w:val="%8."/>
      <w:lvlJc w:val="left"/>
      <w:pPr>
        <w:ind w:left="5349" w:hanging="360"/>
      </w:pPr>
    </w:lvl>
    <w:lvl w:ilvl="8" w:tplc="0409001B" w:tentative="1">
      <w:start w:val="1"/>
      <w:numFmt w:val="lowerRoman"/>
      <w:lvlText w:val="%9."/>
      <w:lvlJc w:val="right"/>
      <w:pPr>
        <w:ind w:left="6069" w:hanging="180"/>
      </w:p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3F4C144B"/>
    <w:multiLevelType w:val="hybridMultilevel"/>
    <w:tmpl w:val="BFEC5F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0643507"/>
    <w:multiLevelType w:val="hybridMultilevel"/>
    <w:tmpl w:val="F9A4C85A"/>
    <w:lvl w:ilvl="0" w:tplc="1C090001">
      <w:start w:val="1"/>
      <w:numFmt w:val="bullet"/>
      <w:lvlText w:val=""/>
      <w:lvlJc w:val="left"/>
      <w:pPr>
        <w:ind w:left="669" w:hanging="360"/>
      </w:pPr>
      <w:rPr>
        <w:rFonts w:ascii="Symbol" w:hAnsi="Symbol" w:hint="default"/>
      </w:rPr>
    </w:lvl>
    <w:lvl w:ilvl="1" w:tplc="1C090003" w:tentative="1">
      <w:start w:val="1"/>
      <w:numFmt w:val="bullet"/>
      <w:lvlText w:val="o"/>
      <w:lvlJc w:val="left"/>
      <w:pPr>
        <w:ind w:left="1389" w:hanging="360"/>
      </w:pPr>
      <w:rPr>
        <w:rFonts w:ascii="Courier New" w:hAnsi="Courier New" w:cs="Courier New" w:hint="default"/>
      </w:rPr>
    </w:lvl>
    <w:lvl w:ilvl="2" w:tplc="1C090005" w:tentative="1">
      <w:start w:val="1"/>
      <w:numFmt w:val="bullet"/>
      <w:lvlText w:val=""/>
      <w:lvlJc w:val="left"/>
      <w:pPr>
        <w:ind w:left="2109" w:hanging="360"/>
      </w:pPr>
      <w:rPr>
        <w:rFonts w:ascii="Wingdings" w:hAnsi="Wingdings" w:hint="default"/>
      </w:rPr>
    </w:lvl>
    <w:lvl w:ilvl="3" w:tplc="1C090001" w:tentative="1">
      <w:start w:val="1"/>
      <w:numFmt w:val="bullet"/>
      <w:lvlText w:val=""/>
      <w:lvlJc w:val="left"/>
      <w:pPr>
        <w:ind w:left="2829" w:hanging="360"/>
      </w:pPr>
      <w:rPr>
        <w:rFonts w:ascii="Symbol" w:hAnsi="Symbol" w:hint="default"/>
      </w:rPr>
    </w:lvl>
    <w:lvl w:ilvl="4" w:tplc="1C090003" w:tentative="1">
      <w:start w:val="1"/>
      <w:numFmt w:val="bullet"/>
      <w:lvlText w:val="o"/>
      <w:lvlJc w:val="left"/>
      <w:pPr>
        <w:ind w:left="3549" w:hanging="360"/>
      </w:pPr>
      <w:rPr>
        <w:rFonts w:ascii="Courier New" w:hAnsi="Courier New" w:cs="Courier New" w:hint="default"/>
      </w:rPr>
    </w:lvl>
    <w:lvl w:ilvl="5" w:tplc="1C090005" w:tentative="1">
      <w:start w:val="1"/>
      <w:numFmt w:val="bullet"/>
      <w:lvlText w:val=""/>
      <w:lvlJc w:val="left"/>
      <w:pPr>
        <w:ind w:left="4269" w:hanging="360"/>
      </w:pPr>
      <w:rPr>
        <w:rFonts w:ascii="Wingdings" w:hAnsi="Wingdings" w:hint="default"/>
      </w:rPr>
    </w:lvl>
    <w:lvl w:ilvl="6" w:tplc="1C090001" w:tentative="1">
      <w:start w:val="1"/>
      <w:numFmt w:val="bullet"/>
      <w:lvlText w:val=""/>
      <w:lvlJc w:val="left"/>
      <w:pPr>
        <w:ind w:left="4989" w:hanging="360"/>
      </w:pPr>
      <w:rPr>
        <w:rFonts w:ascii="Symbol" w:hAnsi="Symbol" w:hint="default"/>
      </w:rPr>
    </w:lvl>
    <w:lvl w:ilvl="7" w:tplc="1C090003" w:tentative="1">
      <w:start w:val="1"/>
      <w:numFmt w:val="bullet"/>
      <w:lvlText w:val="o"/>
      <w:lvlJc w:val="left"/>
      <w:pPr>
        <w:ind w:left="5709" w:hanging="360"/>
      </w:pPr>
      <w:rPr>
        <w:rFonts w:ascii="Courier New" w:hAnsi="Courier New" w:cs="Courier New" w:hint="default"/>
      </w:rPr>
    </w:lvl>
    <w:lvl w:ilvl="8" w:tplc="1C090005" w:tentative="1">
      <w:start w:val="1"/>
      <w:numFmt w:val="bullet"/>
      <w:lvlText w:val=""/>
      <w:lvlJc w:val="left"/>
      <w:pPr>
        <w:ind w:left="6429" w:hanging="360"/>
      </w:pPr>
      <w:rPr>
        <w:rFonts w:ascii="Wingdings" w:hAnsi="Wingdings" w:hint="default"/>
      </w:rPr>
    </w:lvl>
  </w:abstractNum>
  <w:abstractNum w:abstractNumId="13" w15:restartNumberingAfterBreak="0">
    <w:nsid w:val="663127DF"/>
    <w:multiLevelType w:val="hybridMultilevel"/>
    <w:tmpl w:val="A7F4C4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8"/>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11"/>
  </w:num>
  <w:num w:numId="7" w16cid:durableId="942805412">
    <w:abstractNumId w:val="14"/>
  </w:num>
  <w:num w:numId="8" w16cid:durableId="769424102">
    <w:abstractNumId w:val="5"/>
  </w:num>
  <w:num w:numId="9" w16cid:durableId="299653629">
    <w:abstractNumId w:val="10"/>
  </w:num>
  <w:num w:numId="10" w16cid:durableId="2128427903">
    <w:abstractNumId w:val="1"/>
  </w:num>
  <w:num w:numId="11" w16cid:durableId="1276860862">
    <w:abstractNumId w:val="15"/>
  </w:num>
  <w:num w:numId="12" w16cid:durableId="1510172430">
    <w:abstractNumId w:val="4"/>
  </w:num>
  <w:num w:numId="13" w16cid:durableId="1410889328">
    <w:abstractNumId w:val="12"/>
  </w:num>
  <w:num w:numId="14" w16cid:durableId="1770731567">
    <w:abstractNumId w:val="7"/>
  </w:num>
  <w:num w:numId="15" w16cid:durableId="1329476134">
    <w:abstractNumId w:val="9"/>
  </w:num>
  <w:num w:numId="16" w16cid:durableId="16517881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92A22"/>
    <w:rsid w:val="000939C0"/>
    <w:rsid w:val="000A1BE0"/>
    <w:rsid w:val="000A46DE"/>
    <w:rsid w:val="000B6B99"/>
    <w:rsid w:val="000C4747"/>
    <w:rsid w:val="000F0904"/>
    <w:rsid w:val="000F6708"/>
    <w:rsid w:val="00103958"/>
    <w:rsid w:val="00113D45"/>
    <w:rsid w:val="00144E3A"/>
    <w:rsid w:val="00145F5B"/>
    <w:rsid w:val="00186304"/>
    <w:rsid w:val="00192106"/>
    <w:rsid w:val="001924E1"/>
    <w:rsid w:val="001F01D1"/>
    <w:rsid w:val="001F7520"/>
    <w:rsid w:val="00214825"/>
    <w:rsid w:val="00242DC5"/>
    <w:rsid w:val="00253925"/>
    <w:rsid w:val="002570DB"/>
    <w:rsid w:val="00274ABD"/>
    <w:rsid w:val="002B1A54"/>
    <w:rsid w:val="002C6DF8"/>
    <w:rsid w:val="00340E58"/>
    <w:rsid w:val="003654C6"/>
    <w:rsid w:val="003A4C45"/>
    <w:rsid w:val="003D1E03"/>
    <w:rsid w:val="003D6119"/>
    <w:rsid w:val="00400E89"/>
    <w:rsid w:val="0041087B"/>
    <w:rsid w:val="00440BA2"/>
    <w:rsid w:val="00463A82"/>
    <w:rsid w:val="004B680E"/>
    <w:rsid w:val="004D6C6A"/>
    <w:rsid w:val="004D70BB"/>
    <w:rsid w:val="00521A78"/>
    <w:rsid w:val="00542B42"/>
    <w:rsid w:val="005479A2"/>
    <w:rsid w:val="00583165"/>
    <w:rsid w:val="00592C4D"/>
    <w:rsid w:val="005B2D74"/>
    <w:rsid w:val="005E13F7"/>
    <w:rsid w:val="00626746"/>
    <w:rsid w:val="006913F3"/>
    <w:rsid w:val="006A323B"/>
    <w:rsid w:val="006B6DFC"/>
    <w:rsid w:val="006D145E"/>
    <w:rsid w:val="006D7067"/>
    <w:rsid w:val="00717760"/>
    <w:rsid w:val="00737891"/>
    <w:rsid w:val="007456D8"/>
    <w:rsid w:val="007639BD"/>
    <w:rsid w:val="0076430D"/>
    <w:rsid w:val="00774277"/>
    <w:rsid w:val="007946B8"/>
    <w:rsid w:val="007B0B20"/>
    <w:rsid w:val="007C5B45"/>
    <w:rsid w:val="007D5DD8"/>
    <w:rsid w:val="0084168A"/>
    <w:rsid w:val="008623E6"/>
    <w:rsid w:val="00892922"/>
    <w:rsid w:val="008D0B41"/>
    <w:rsid w:val="00935222"/>
    <w:rsid w:val="00967C0D"/>
    <w:rsid w:val="00985B82"/>
    <w:rsid w:val="009924C2"/>
    <w:rsid w:val="009C7A58"/>
    <w:rsid w:val="009E3E8C"/>
    <w:rsid w:val="00A26C6F"/>
    <w:rsid w:val="00A631A7"/>
    <w:rsid w:val="00A77557"/>
    <w:rsid w:val="00A83711"/>
    <w:rsid w:val="00AD5FAE"/>
    <w:rsid w:val="00B05364"/>
    <w:rsid w:val="00B0563D"/>
    <w:rsid w:val="00B1372E"/>
    <w:rsid w:val="00B270D0"/>
    <w:rsid w:val="00B412E7"/>
    <w:rsid w:val="00B5592F"/>
    <w:rsid w:val="00B675EB"/>
    <w:rsid w:val="00B710CA"/>
    <w:rsid w:val="00B7796F"/>
    <w:rsid w:val="00BC3BEE"/>
    <w:rsid w:val="00C17B41"/>
    <w:rsid w:val="00C35404"/>
    <w:rsid w:val="00C41F27"/>
    <w:rsid w:val="00C57769"/>
    <w:rsid w:val="00C73493"/>
    <w:rsid w:val="00C8393A"/>
    <w:rsid w:val="00CA7D0F"/>
    <w:rsid w:val="00CB7C28"/>
    <w:rsid w:val="00CC3AE2"/>
    <w:rsid w:val="00CC3DFB"/>
    <w:rsid w:val="00CC64EB"/>
    <w:rsid w:val="00CE1AE6"/>
    <w:rsid w:val="00D16CB5"/>
    <w:rsid w:val="00D463BF"/>
    <w:rsid w:val="00DA3141"/>
    <w:rsid w:val="00DD23B3"/>
    <w:rsid w:val="00DF280E"/>
    <w:rsid w:val="00DF7A11"/>
    <w:rsid w:val="00E012AD"/>
    <w:rsid w:val="00E11D8F"/>
    <w:rsid w:val="00E207FD"/>
    <w:rsid w:val="00E35ACF"/>
    <w:rsid w:val="00E901D6"/>
    <w:rsid w:val="00E905E0"/>
    <w:rsid w:val="00EE21DD"/>
    <w:rsid w:val="00EF7D6D"/>
    <w:rsid w:val="00F56737"/>
    <w:rsid w:val="00F85FBF"/>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AD5FAE"/>
    <w:rPr>
      <w:sz w:val="22"/>
      <w:szCs w:val="22"/>
      <w:lang w:val="en-ZA" w:eastAsia="en-US" w:bidi="he-IL"/>
    </w:rPr>
  </w:style>
  <w:style w:type="paragraph" w:customStyle="1" w:styleId="EndNoteBibliography">
    <w:name w:val="EndNote Bibliography"/>
    <w:basedOn w:val="Normal"/>
    <w:link w:val="EndNoteBibliographyChar"/>
    <w:rsid w:val="00D463BF"/>
    <w:pPr>
      <w:spacing w:after="160" w:line="240" w:lineRule="auto"/>
      <w:jc w:val="both"/>
    </w:pPr>
    <w:rPr>
      <w:rFonts w:ascii="Arial" w:hAnsi="Arial"/>
      <w:noProof/>
      <w:sz w:val="24"/>
      <w:lang w:val="en-US" w:bidi="ar-SA"/>
    </w:rPr>
  </w:style>
  <w:style w:type="character" w:customStyle="1" w:styleId="EndNoteBibliographyChar">
    <w:name w:val="EndNote Bibliography Char"/>
    <w:link w:val="EndNoteBibliography"/>
    <w:rsid w:val="00D463BF"/>
    <w:rPr>
      <w:rFonts w:ascii="Arial" w:hAnsi="Arial"/>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627320208">
      <w:bodyDiv w:val="1"/>
      <w:marLeft w:val="0"/>
      <w:marRight w:val="0"/>
      <w:marTop w:val="0"/>
      <w:marBottom w:val="0"/>
      <w:divBdr>
        <w:top w:val="none" w:sz="0" w:space="0" w:color="auto"/>
        <w:left w:val="none" w:sz="0" w:space="0" w:color="auto"/>
        <w:bottom w:val="none" w:sz="0" w:space="0" w:color="auto"/>
        <w:right w:val="none" w:sz="0" w:space="0" w:color="auto"/>
      </w:divBdr>
    </w:div>
    <w:div w:id="664357285">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364842">
      <w:bodyDiv w:val="1"/>
      <w:marLeft w:val="0"/>
      <w:marRight w:val="0"/>
      <w:marTop w:val="0"/>
      <w:marBottom w:val="0"/>
      <w:divBdr>
        <w:top w:val="none" w:sz="0" w:space="0" w:color="auto"/>
        <w:left w:val="none" w:sz="0" w:space="0" w:color="auto"/>
        <w:bottom w:val="none" w:sz="0" w:space="0" w:color="auto"/>
        <w:right w:val="none" w:sz="0" w:space="0" w:color="auto"/>
      </w:divBdr>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052861">
      <w:bodyDiv w:val="1"/>
      <w:marLeft w:val="0"/>
      <w:marRight w:val="0"/>
      <w:marTop w:val="0"/>
      <w:marBottom w:val="0"/>
      <w:divBdr>
        <w:top w:val="none" w:sz="0" w:space="0" w:color="auto"/>
        <w:left w:val="none" w:sz="0" w:space="0" w:color="auto"/>
        <w:bottom w:val="none" w:sz="0" w:space="0" w:color="auto"/>
        <w:right w:val="none" w:sz="0" w:space="0" w:color="auto"/>
      </w:divBdr>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1950234065">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Mokgohloa, Kgabo</cp:lastModifiedBy>
  <cp:revision>4</cp:revision>
  <dcterms:created xsi:type="dcterms:W3CDTF">2026-07-10T10:38:00Z</dcterms:created>
  <dcterms:modified xsi:type="dcterms:W3CDTF">2026-07-10T13:46:00Z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64ce8c2d-3dc6-44b9-abb2-91b02147688f</vt:lpwstr>
  </property>
</Properties>
</file>